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F440BF">
      <w:pPr>
        <w:spacing w:after="0" w:line="24" w:lineRule="atLeast"/>
        <w:jc w:val="center"/>
        <w:rPr>
          <w:rFonts w:hint="default" w:ascii="Goudy Old Style" w:hAnsi="Goudy Old Style"/>
          <w:b/>
          <w:bCs/>
          <w:spacing w:val="2"/>
          <w:sz w:val="13"/>
          <w:szCs w:val="13"/>
          <w:shd w:val="clear" w:color="auto" w:fill="FFFFFF"/>
        </w:rPr>
      </w:pPr>
      <w:r>
        <w:rPr>
          <w:rFonts w:hint="default" w:ascii="Goudy Old Style" w:hAnsi="Goudy Old Style"/>
          <w:b/>
          <w:bCs/>
          <w:spacing w:val="2"/>
          <w:sz w:val="30"/>
          <w:szCs w:val="30"/>
          <w:shd w:val="clear" w:color="auto" w:fill="FFFFFF"/>
        </w:rPr>
        <w:t>G-C₃N₄/CEO₂ DEPOSITED WITH PT COCATALYST FOR PHOTOCATALYTIC CO₂ REDUCTION: A COMPREHENSIVE REVIEW</w:t>
      </w:r>
    </w:p>
    <w:p w14:paraId="0079578A">
      <w:pPr>
        <w:tabs>
          <w:tab w:val="left" w:pos="6766"/>
        </w:tabs>
        <w:autoSpaceDE w:val="0"/>
        <w:autoSpaceDN w:val="0"/>
        <w:adjustRightInd w:val="0"/>
        <w:spacing w:after="0" w:line="24" w:lineRule="atLeast"/>
        <w:ind w:right="-450"/>
        <w:jc w:val="center"/>
        <w:rPr>
          <w:rFonts w:ascii="Goudy Old Style" w:hAnsi="Goudy Old Style"/>
          <w:b/>
          <w:sz w:val="8"/>
          <w:szCs w:val="8"/>
        </w:rPr>
      </w:pPr>
    </w:p>
    <w:p w14:paraId="2C1605F4">
      <w:pPr>
        <w:pStyle w:val="104"/>
        <w:spacing w:after="0"/>
        <w:ind w:left="0" w:leftChars="0" w:firstLine="0" w:firstLineChars="0"/>
        <w:jc w:val="center"/>
        <w:rPr>
          <w:rFonts w:hint="default" w:ascii="Goudy Old Style" w:hAnsi="Goudy Old Style"/>
          <w:b w:val="0"/>
          <w:bCs w:val="0"/>
          <w:color w:val="0D0D0D" w:themeColor="text1" w:themeTint="F2"/>
          <w:w w:val="110"/>
          <w:sz w:val="28"/>
          <w:szCs w:val="28"/>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8"/>
          <w:szCs w:val="28"/>
          <w:vertAlign w:val="superscript"/>
          <w:lang w:val="en-US"/>
          <w14:textFill>
            <w14:solidFill>
              <w14:schemeClr w14:val="tx1">
                <w14:lumMod w14:val="95000"/>
                <w14:lumOff w14:val="5000"/>
              </w14:schemeClr>
            </w14:solidFill>
          </w14:textFill>
        </w:rPr>
        <w:t>1</w:t>
      </w:r>
      <w:r>
        <w:rPr>
          <w:rFonts w:hint="default" w:ascii="Goudy Old Style" w:hAnsi="Goudy Old Style"/>
          <w:b w:val="0"/>
          <w:bCs w:val="0"/>
          <w:color w:val="0D0D0D" w:themeColor="text1" w:themeTint="F2"/>
          <w:w w:val="110"/>
          <w:sz w:val="28"/>
          <w:szCs w:val="28"/>
          <w:vertAlign w:val="baseline"/>
          <w:lang w:val="en-US"/>
          <w14:textFill>
            <w14:solidFill>
              <w14:schemeClr w14:val="tx1">
                <w14:lumMod w14:val="95000"/>
                <w14:lumOff w14:val="5000"/>
              </w14:schemeClr>
            </w14:solidFill>
          </w14:textFill>
        </w:rPr>
        <w:t xml:space="preserve">Mahrukh </w:t>
      </w:r>
      <w:bookmarkStart w:id="0" w:name="_GoBack"/>
      <w:r>
        <w:rPr>
          <w:rFonts w:hint="default" w:ascii="Goudy Old Style" w:hAnsi="Goudy Old Style"/>
          <w:b w:val="0"/>
          <w:bCs w:val="0"/>
          <w:color w:val="0D0D0D" w:themeColor="text1" w:themeTint="F2"/>
          <w:w w:val="110"/>
          <w:sz w:val="28"/>
          <w:szCs w:val="28"/>
          <w:vertAlign w:val="baseline"/>
          <w:lang w:val="en-US"/>
          <w14:textFill>
            <w14:solidFill>
              <w14:schemeClr w14:val="tx1">
                <w14:lumMod w14:val="95000"/>
                <w14:lumOff w14:val="5000"/>
              </w14:schemeClr>
            </w14:solidFill>
          </w14:textFill>
        </w:rPr>
        <w:t>Akram</w:t>
      </w:r>
      <w:bookmarkEnd w:id="0"/>
      <w:r>
        <w:rPr>
          <w:rFonts w:hint="default" w:ascii="Goudy Old Style" w:hAnsi="Goudy Old Style"/>
          <w:b w:val="0"/>
          <w:bCs w:val="0"/>
          <w:color w:val="0D0D0D" w:themeColor="text1" w:themeTint="F2"/>
          <w:w w:val="110"/>
          <w:sz w:val="28"/>
          <w:szCs w:val="28"/>
          <w:vertAlign w:val="baseline"/>
          <w:lang w:val="en-US"/>
          <w14:textFill>
            <w14:solidFill>
              <w14:schemeClr w14:val="tx1">
                <w14:lumMod w14:val="95000"/>
                <w14:lumOff w14:val="5000"/>
              </w14:schemeClr>
            </w14:solidFill>
          </w14:textFill>
        </w:rPr>
        <w:t xml:space="preserve">, </w:t>
      </w:r>
      <w:r>
        <w:rPr>
          <w:rFonts w:hint="default" w:ascii="Goudy Old Style" w:hAnsi="Goudy Old Style"/>
          <w:b w:val="0"/>
          <w:bCs w:val="0"/>
          <w:color w:val="0D0D0D" w:themeColor="text1" w:themeTint="F2"/>
          <w:w w:val="110"/>
          <w:sz w:val="28"/>
          <w:szCs w:val="28"/>
          <w:vertAlign w:val="superscript"/>
          <w:lang w:val="en-US"/>
          <w14:textFill>
            <w14:solidFill>
              <w14:schemeClr w14:val="tx1">
                <w14:lumMod w14:val="95000"/>
                <w14:lumOff w14:val="5000"/>
              </w14:schemeClr>
            </w14:solidFill>
          </w14:textFill>
        </w:rPr>
        <w:t>2</w:t>
      </w:r>
      <w:r>
        <w:rPr>
          <w:rFonts w:hint="default" w:ascii="Goudy Old Style" w:hAnsi="Goudy Old Style"/>
          <w:b w:val="0"/>
          <w:bCs w:val="0"/>
          <w:color w:val="0D0D0D" w:themeColor="text1" w:themeTint="F2"/>
          <w:w w:val="110"/>
          <w:sz w:val="28"/>
          <w:szCs w:val="28"/>
          <w:vertAlign w:val="baseline"/>
          <w:lang w:val="en-US"/>
          <w14:textFill>
            <w14:solidFill>
              <w14:schemeClr w14:val="tx1">
                <w14:lumMod w14:val="95000"/>
                <w14:lumOff w14:val="5000"/>
              </w14:schemeClr>
            </w14:solidFill>
          </w14:textFill>
        </w:rPr>
        <w:t>Dr. Abdul Razaq,</w:t>
      </w:r>
      <w:r>
        <w:rPr>
          <w:rFonts w:hint="default" w:ascii="Goudy Old Style" w:hAnsi="Goudy Old Style"/>
          <w:b w:val="0"/>
          <w:bCs w:val="0"/>
          <w:color w:val="0D0D0D" w:themeColor="text1" w:themeTint="F2"/>
          <w:w w:val="110"/>
          <w:sz w:val="28"/>
          <w:szCs w:val="28"/>
          <w:vertAlign w:val="superscript"/>
          <w:lang w:val="en-US"/>
          <w14:textFill>
            <w14:solidFill>
              <w14:schemeClr w14:val="tx1">
                <w14:lumMod w14:val="95000"/>
                <w14:lumOff w14:val="5000"/>
              </w14:schemeClr>
            </w14:solidFill>
          </w14:textFill>
        </w:rPr>
        <w:t>3</w:t>
      </w:r>
      <w:r>
        <w:rPr>
          <w:rFonts w:hint="default" w:ascii="Goudy Old Style" w:hAnsi="Goudy Old Style"/>
          <w:b w:val="0"/>
          <w:bCs w:val="0"/>
          <w:color w:val="0D0D0D" w:themeColor="text1" w:themeTint="F2"/>
          <w:w w:val="110"/>
          <w:sz w:val="28"/>
          <w:szCs w:val="28"/>
          <w:vertAlign w:val="baseline"/>
          <w:lang w:val="en-US"/>
          <w14:textFill>
            <w14:solidFill>
              <w14:schemeClr w14:val="tx1">
                <w14:lumMod w14:val="95000"/>
                <w14:lumOff w14:val="5000"/>
              </w14:schemeClr>
            </w14:solidFill>
          </w14:textFill>
        </w:rPr>
        <w:t xml:space="preserve">Shabir Ahmed Dharejo, </w:t>
      </w:r>
      <w:r>
        <w:rPr>
          <w:rFonts w:hint="default" w:ascii="Goudy Old Style" w:hAnsi="Goudy Old Style"/>
          <w:b w:val="0"/>
          <w:bCs w:val="0"/>
          <w:color w:val="0D0D0D" w:themeColor="text1" w:themeTint="F2"/>
          <w:w w:val="110"/>
          <w:sz w:val="28"/>
          <w:szCs w:val="28"/>
          <w:vertAlign w:val="superscript"/>
          <w:lang w:val="en-US"/>
          <w14:textFill>
            <w14:solidFill>
              <w14:schemeClr w14:val="tx1">
                <w14:lumMod w14:val="95000"/>
                <w14:lumOff w14:val="5000"/>
              </w14:schemeClr>
            </w14:solidFill>
          </w14:textFill>
        </w:rPr>
        <w:t>4</w:t>
      </w:r>
      <w:r>
        <w:rPr>
          <w:rFonts w:hint="default" w:ascii="Goudy Old Style" w:hAnsi="Goudy Old Style"/>
          <w:b w:val="0"/>
          <w:bCs w:val="0"/>
          <w:color w:val="0D0D0D" w:themeColor="text1" w:themeTint="F2"/>
          <w:w w:val="110"/>
          <w:sz w:val="28"/>
          <w:szCs w:val="28"/>
          <w:vertAlign w:val="baseline"/>
          <w:lang w:val="en-US"/>
          <w14:textFill>
            <w14:solidFill>
              <w14:schemeClr w14:val="tx1">
                <w14:lumMod w14:val="95000"/>
                <w14:lumOff w14:val="5000"/>
              </w14:schemeClr>
            </w14:solidFill>
          </w14:textFill>
        </w:rPr>
        <w:t xml:space="preserve">Zubair Ahmed Chachar </w:t>
      </w:r>
    </w:p>
    <w:p w14:paraId="7C95DACA">
      <w:pPr>
        <w:pStyle w:val="104"/>
        <w:spacing w:after="0"/>
        <w:ind w:left="0" w:leftChars="0" w:firstLine="0" w:firstLineChars="0"/>
        <w:jc w:val="cente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t>PhD chemistry  Department of chemistry  Govt college university Faisalabad</w:t>
      </w:r>
    </w:p>
    <w:p w14:paraId="1840DB14">
      <w:pPr>
        <w:pStyle w:val="104"/>
        <w:spacing w:after="0"/>
        <w:ind w:left="0" w:leftChars="0" w:firstLine="0" w:firstLineChars="0"/>
        <w:jc w:val="cente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t xml:space="preserve"> </w: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begin"/>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instrText xml:space="preserve"> HYPERLINK "mailto:alislahschool372@gmail.com" </w:instrTex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separate"/>
      </w:r>
      <w:r>
        <w:rPr>
          <w:rStyle w:val="25"/>
          <w:rFonts w:hint="default" w:ascii="Goudy Old Style" w:hAnsi="Goudy Old Style"/>
          <w:b w:val="0"/>
          <w:bCs w:val="0"/>
          <w:w w:val="110"/>
          <w:sz w:val="24"/>
          <w:szCs w:val="24"/>
          <w:vertAlign w:val="baseline"/>
          <w:lang w:val="en-US"/>
        </w:rPr>
        <w:t>alislahschool372@gmail.com</w: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end"/>
      </w:r>
    </w:p>
    <w:p w14:paraId="1A8AD00E">
      <w:pPr>
        <w:pStyle w:val="104"/>
        <w:spacing w:after="0"/>
        <w:ind w:left="0" w:leftChars="0" w:firstLine="0" w:firstLineChars="0"/>
        <w:jc w:val="cente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t xml:space="preserve"> Ph.D School of Chemistry, University of the Punjab, Lahore- </w:t>
      </w:r>
    </w:p>
    <w:p w14:paraId="20B0A7D4">
      <w:pPr>
        <w:pStyle w:val="104"/>
        <w:spacing w:after="0"/>
        <w:ind w:left="0" w:leftChars="0" w:firstLine="0" w:firstLineChars="0"/>
        <w:jc w:val="cente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begin"/>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instrText xml:space="preserve"> HYPERLINK "mailto:arazaqch@gmail.com" </w:instrTex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separate"/>
      </w:r>
      <w:r>
        <w:rPr>
          <w:rStyle w:val="25"/>
          <w:rFonts w:hint="default" w:ascii="Goudy Old Style" w:hAnsi="Goudy Old Style"/>
          <w:b w:val="0"/>
          <w:bCs w:val="0"/>
          <w:w w:val="110"/>
          <w:sz w:val="24"/>
          <w:szCs w:val="24"/>
          <w:vertAlign w:val="baseline"/>
          <w:lang w:val="en-US"/>
        </w:rPr>
        <w:t>arazaqch@gmail.com</w: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end"/>
      </w:r>
    </w:p>
    <w:p w14:paraId="052BDB7A">
      <w:pPr>
        <w:pStyle w:val="104"/>
        <w:spacing w:after="0"/>
        <w:ind w:left="0" w:leftChars="0" w:firstLine="0" w:firstLineChars="0"/>
        <w:jc w:val="cente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t xml:space="preserve">PhD Scholar  Institute of Chemistry Shah Abdul Latif University Khairpur Mir’s </w:t>
      </w:r>
    </w:p>
    <w:p w14:paraId="6EB8224D">
      <w:pPr>
        <w:pStyle w:val="104"/>
        <w:spacing w:after="0"/>
        <w:ind w:left="0" w:leftChars="0" w:firstLine="0" w:firstLineChars="0"/>
        <w:jc w:val="cente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begin"/>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instrText xml:space="preserve"> HYPERLINK "mailto:shabirdharejo@gmail.com" </w:instrTex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separate"/>
      </w:r>
      <w:r>
        <w:rPr>
          <w:rStyle w:val="25"/>
          <w:rFonts w:hint="default" w:ascii="Goudy Old Style" w:hAnsi="Goudy Old Style"/>
          <w:b w:val="0"/>
          <w:bCs w:val="0"/>
          <w:w w:val="110"/>
          <w:sz w:val="24"/>
          <w:szCs w:val="24"/>
          <w:vertAlign w:val="baseline"/>
          <w:lang w:val="en-US"/>
        </w:rPr>
        <w:t>shabirdharejo@gmail.com</w: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end"/>
      </w:r>
    </w:p>
    <w:p w14:paraId="5A84D6C2">
      <w:pPr>
        <w:pStyle w:val="104"/>
        <w:spacing w:after="0"/>
        <w:ind w:left="0" w:leftChars="0" w:firstLine="0" w:firstLineChars="0"/>
        <w:jc w:val="cente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t xml:space="preserve">PhD Chemistry Scholor Institute of Chemistry, Shah Abdul Latif University Khairpur </w:t>
      </w:r>
    </w:p>
    <w:p w14:paraId="278B32A3">
      <w:pPr>
        <w:pStyle w:val="104"/>
        <w:spacing w:after="0"/>
        <w:ind w:left="0" w:leftChars="0" w:firstLine="0" w:firstLineChars="0"/>
        <w:jc w:val="center"/>
        <w:rPr>
          <w:rFonts w:hint="default" w:ascii="Goudy Old Style" w:hAnsi="Goudy Old Style"/>
          <w:b w:val="0"/>
          <w:bCs w:val="0"/>
          <w:i w:val="0"/>
          <w:iCs w:val="0"/>
          <w:color w:val="0D0D0D" w:themeColor="text1" w:themeTint="F2"/>
          <w:w w:val="110"/>
          <w:sz w:val="24"/>
          <w:szCs w:val="24"/>
          <w:vertAlign w:val="baseline"/>
          <w:lang w:val="en-US"/>
          <w14:textFill>
            <w14:solidFill>
              <w14:schemeClr w14:val="tx1">
                <w14:lumMod w14:val="95000"/>
                <w14:lumOff w14:val="5000"/>
              </w14:schemeClr>
            </w14:solidFill>
          </w14:textFill>
        </w:rPr>
      </w:pP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begin"/>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instrText xml:space="preserve"> HYPERLINK "mailto:Zubairahmedchachar@gmail.com*" </w:instrTex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separate"/>
      </w:r>
      <w:r>
        <w:rPr>
          <w:rStyle w:val="25"/>
          <w:rFonts w:hint="default" w:ascii="Goudy Old Style" w:hAnsi="Goudy Old Style"/>
          <w:b w:val="0"/>
          <w:bCs w:val="0"/>
          <w:w w:val="110"/>
          <w:sz w:val="24"/>
          <w:szCs w:val="24"/>
          <w:vertAlign w:val="baseline"/>
          <w:lang w:val="en-US"/>
        </w:rPr>
        <w:t>Zubairahmedchachar@gmail.com</w:t>
      </w:r>
      <w:r>
        <w:rPr>
          <w:rStyle w:val="25"/>
          <w:rFonts w:hint="default" w:ascii="Goudy Old Style" w:hAnsi="Goudy Old Style"/>
          <w:b w:val="0"/>
          <w:bCs w:val="0"/>
          <w:i w:val="0"/>
          <w:iCs w:val="0"/>
          <w:w w:val="110"/>
          <w:sz w:val="24"/>
          <w:szCs w:val="24"/>
          <w:vertAlign w:val="baseline"/>
          <w:lang w:val="en-US"/>
        </w:rPr>
        <w:t>*</w:t>
      </w:r>
      <w:r>
        <w:rPr>
          <w:rFonts w:hint="default" w:ascii="Goudy Old Style" w:hAnsi="Goudy Old Style"/>
          <w:b w:val="0"/>
          <w:bCs w:val="0"/>
          <w:color w:val="0D0D0D" w:themeColor="text1" w:themeTint="F2"/>
          <w:w w:val="110"/>
          <w:sz w:val="24"/>
          <w:szCs w:val="24"/>
          <w:vertAlign w:val="baseline"/>
          <w:lang w:val="en-US"/>
          <w14:textFill>
            <w14:solidFill>
              <w14:schemeClr w14:val="tx1">
                <w14:lumMod w14:val="95000"/>
                <w14:lumOff w14:val="5000"/>
              </w14:schemeClr>
            </w14:solidFill>
          </w14:textFill>
        </w:rPr>
        <w:fldChar w:fldCharType="end"/>
      </w:r>
    </w:p>
    <w:p w14:paraId="124F683D">
      <w:pPr>
        <w:pStyle w:val="104"/>
        <w:spacing w:after="0"/>
        <w:ind w:left="0" w:leftChars="0" w:firstLine="0" w:firstLineChars="0"/>
        <w:jc w:val="center"/>
        <w:rPr>
          <w:rFonts w:hint="default" w:ascii="Goudy Old Style" w:hAnsi="Goudy Old Style"/>
          <w:b w:val="0"/>
          <w:bCs w:val="0"/>
          <w:i w:val="0"/>
          <w:iCs w:val="0"/>
          <w:color w:val="0D0D0D" w:themeColor="text1" w:themeTint="F2"/>
          <w:w w:val="110"/>
          <w:sz w:val="24"/>
          <w:szCs w:val="24"/>
          <w:vertAlign w:val="superscript"/>
          <w:lang w:val="en-US"/>
          <w14:textFill>
            <w14:solidFill>
              <w14:schemeClr w14:val="tx1">
                <w14:lumMod w14:val="95000"/>
                <w14:lumOff w14:val="5000"/>
              </w14:schemeClr>
            </w14:solidFill>
          </w14:textFill>
        </w:rPr>
      </w:pPr>
    </w:p>
    <w:tbl>
      <w:tblPr>
        <w:tblStyle w:val="31"/>
        <w:tblpPr w:leftFromText="180" w:rightFromText="180" w:vertAnchor="text" w:horzAnchor="page" w:tblpX="1453" w:tblpY="148"/>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87"/>
        <w:gridCol w:w="6868"/>
      </w:tblGrid>
      <w:tr w14:paraId="6D8A4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87" w:type="dxa"/>
            <w:shd w:val="clear" w:color="auto" w:fill="E7E6E6" w:themeFill="background2"/>
          </w:tcPr>
          <w:p w14:paraId="5A5610F4">
            <w:pPr>
              <w:spacing w:after="0" w:line="24" w:lineRule="atLeast"/>
              <w:rPr>
                <w:rFonts w:ascii="Goudy Old Style" w:hAnsi="Goudy Old Style" w:cs="Times New Roman"/>
                <w:b/>
                <w:bCs/>
                <w:color w:val="000000" w:themeColor="text1"/>
                <w:sz w:val="2"/>
                <w:szCs w:val="20"/>
                <w14:textFill>
                  <w14:solidFill>
                    <w14:schemeClr w14:val="tx1"/>
                  </w14:solidFill>
                </w14:textFill>
              </w:rPr>
            </w:pPr>
          </w:p>
        </w:tc>
        <w:tc>
          <w:tcPr>
            <w:tcW w:w="6868" w:type="dxa"/>
            <w:vMerge w:val="restart"/>
          </w:tcPr>
          <w:p w14:paraId="0D8AD6D4">
            <w:pPr>
              <w:spacing w:after="0" w:line="24" w:lineRule="atLeast"/>
              <w:rPr>
                <w:rFonts w:ascii="Goudy Old Style" w:hAnsi="Goudy Old Style" w:cs="Times New Roman"/>
                <w:b/>
                <w:bCs/>
                <w:color w:val="auto"/>
                <w:sz w:val="22"/>
                <w:szCs w:val="22"/>
              </w:rPr>
            </w:pPr>
            <w:r>
              <w:rPr>
                <w:rFonts w:ascii="Goudy Old Style" w:hAnsi="Goudy Old Style" w:cs="Times New Roman"/>
                <w:b/>
                <w:bCs/>
                <w:color w:val="auto"/>
                <w:sz w:val="22"/>
                <w:szCs w:val="22"/>
              </w:rPr>
              <w:t>Abstract</w:t>
            </w:r>
          </w:p>
          <w:p w14:paraId="677C7114">
            <w:pPr>
              <w:pBdr>
                <w:left w:val="single" w:color="3949AB" w:sz="10" w:space="8"/>
              </w:pBdr>
              <w:spacing w:after="160"/>
              <w:ind w:left="360"/>
              <w:jc w:val="both"/>
              <w:rPr>
                <w:rFonts w:ascii="Goudy Old Style" w:hAnsi="Goudy Old Style" w:cs="Times New Roman"/>
                <w:i/>
                <w:iCs/>
                <w:color w:val="000000" w:themeColor="text1"/>
                <w:sz w:val="22"/>
                <w:szCs w:val="22"/>
                <w14:textFill>
                  <w14:solidFill>
                    <w14:schemeClr w14:val="tx1"/>
                  </w14:solidFill>
                </w14:textFill>
              </w:rPr>
            </w:pPr>
            <w:r>
              <w:rPr>
                <w:rFonts w:hint="default" w:ascii="Goudy Old Style" w:hAnsi="Goudy Old Style" w:cs="Goudy Old Style"/>
                <w:sz w:val="24"/>
                <w:szCs w:val="24"/>
              </w:rPr>
              <w:t>The escalating concentration of atmospheric carbon dioxide (CO₂) necessitates innovative mitigation strategies. Photocatalytic CO₂ reduction offers a solar-driven route to convert CO₂ into value-added fuels and chemicals. This review presents a comprehensive investigation of a ternary photocatalytic system comprising graphitic carbon nitride (g-C₃N₄) and cerium dioxide (CeO₂), enhanced by platinum (Pt) as a noble metal cocatalyst. The synergistic interactions between g-C₃N₄ and CeO₂ yield superior charge separation, broadened light absorption, and enhanced surface reactivity. Characterisation by XRD, FTIR, TEM, SEM, and UV-Vis spectroscopy confirmed successful composite synthesis with preserved crystal structures and markedly enlarged BET surface areas (up to 36.65 m²/g for CeO₂-g-C₃N₄ (3) versus 9.45 m²/g for pure CeO₂). Stable production of CH₄ (∼30 μmol/g/h) and H₂ (∼35 μmol/g/h) was demonstrated over five consecutive photocatalytic cycles. These findings advance understanding of ternary heterojunction photocatalysts for sustainable CO₂ valorisation.</w:t>
            </w:r>
          </w:p>
        </w:tc>
      </w:tr>
      <w:tr w14:paraId="1840F1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2887" w:type="dxa"/>
            <w:shd w:val="clear" w:color="auto" w:fill="E7E6E6" w:themeFill="background2"/>
          </w:tcPr>
          <w:p w14:paraId="3BB6E442">
            <w:pPr>
              <w:spacing w:after="0" w:line="24" w:lineRule="atLeast"/>
              <w:rPr>
                <w:rFonts w:hint="default" w:ascii="Goudy Old Style" w:hAnsi="Goudy Old Style" w:cs="Goudy Old Style"/>
                <w:i/>
                <w:iCs/>
              </w:rPr>
            </w:pPr>
            <w:r>
              <w:rPr>
                <w:rFonts w:hint="default" w:ascii="Goudy Old Style" w:hAnsi="Goudy Old Style" w:cs="Goudy Old Style"/>
                <w:b/>
                <w:bCs/>
                <w:color w:val="000000" w:themeColor="text1"/>
                <w:sz w:val="21"/>
                <w:szCs w:val="21"/>
                <w14:textFill>
                  <w14:solidFill>
                    <w14:schemeClr w14:val="tx1"/>
                  </w14:solidFill>
                </w14:textFill>
              </w:rPr>
              <w:t>Keywords</w:t>
            </w:r>
            <w:r>
              <w:rPr>
                <w:rFonts w:hint="default" w:ascii="Goudy Old Style" w:hAnsi="Goudy Old Style" w:cs="Goudy Old Style"/>
                <w:b/>
                <w:bCs/>
                <w:color w:val="000000" w:themeColor="text1"/>
                <w:sz w:val="21"/>
                <w:szCs w:val="21"/>
                <w:lang w:val="en-US"/>
                <w14:textFill>
                  <w14:solidFill>
                    <w14:schemeClr w14:val="tx1"/>
                  </w14:solidFill>
                </w14:textFill>
              </w:rPr>
              <w:t xml:space="preserve">- </w:t>
            </w:r>
            <w:r>
              <w:rPr>
                <w:rFonts w:hint="default" w:ascii="Goudy Old Style" w:hAnsi="Goudy Old Style" w:cs="Goudy Old Style"/>
                <w:i/>
                <w:iCs/>
              </w:rPr>
              <w:t>photocatalysis, CO₂ reduction, g-C₃N₄, CeO₂, platinum cocatalyst, heterojunction, charge separation</w:t>
            </w:r>
          </w:p>
          <w:p w14:paraId="14F1F510">
            <w:pPr>
              <w:spacing w:after="0" w:line="24" w:lineRule="atLeast"/>
              <w:rPr>
                <w:i/>
                <w:iCs/>
              </w:rPr>
            </w:pPr>
          </w:p>
          <w:p w14:paraId="4323DAD1">
            <w:pPr>
              <w:spacing w:after="0" w:line="24" w:lineRule="atLeast"/>
              <w:rPr>
                <w:rFonts w:ascii="Goudy Old Style" w:hAnsi="Goudy Old Style" w:cs="Times New Roman"/>
                <w:b/>
                <w:bCs/>
                <w:color w:val="000000" w:themeColor="text1"/>
                <w:sz w:val="21"/>
                <w:szCs w:val="21"/>
                <w14:textFill>
                  <w14:solidFill>
                    <w14:schemeClr w14:val="tx1"/>
                  </w14:solidFill>
                </w14:textFill>
              </w:rPr>
            </w:pPr>
            <w:r>
              <w:rPr>
                <w:rFonts w:ascii="Goudy Old Style" w:hAnsi="Goudy Old Style" w:cs="Times New Roman"/>
                <w:b/>
                <w:bCs/>
                <w:color w:val="000000" w:themeColor="text1"/>
                <w:sz w:val="21"/>
                <w:szCs w:val="21"/>
                <w14:textFill>
                  <w14:solidFill>
                    <w14:schemeClr w14:val="tx1"/>
                  </w14:solidFill>
                </w14:textFill>
              </w:rPr>
              <w:t xml:space="preserve">Article History </w:t>
            </w:r>
          </w:p>
          <w:p w14:paraId="60FC0D5D">
            <w:pPr>
              <w:spacing w:after="0" w:line="24" w:lineRule="atLeast"/>
              <w:rPr>
                <w:rFonts w:ascii="Goudy Old Style" w:hAnsi="Goudy Old Style" w:cs="Times New Roman"/>
                <w:i/>
                <w:color w:val="000000" w:themeColor="text1"/>
                <w:sz w:val="21"/>
                <w:szCs w:val="21"/>
                <w14:textFill>
                  <w14:solidFill>
                    <w14:schemeClr w14:val="tx1"/>
                  </w14:solidFill>
                </w14:textFill>
              </w:rPr>
            </w:pPr>
            <w:r>
              <w:rPr>
                <w:rFonts w:ascii="Goudy Old Style" w:hAnsi="Goudy Old Style" w:cs="Times New Roman"/>
                <w:i/>
                <w:color w:val="000000" w:themeColor="text1"/>
                <w:sz w:val="21"/>
                <w:szCs w:val="21"/>
                <w14:textFill>
                  <w14:solidFill>
                    <w14:schemeClr w14:val="tx1"/>
                  </w14:solidFill>
                </w14:textFill>
              </w:rPr>
              <w:t>Received on</w:t>
            </w:r>
            <w:r>
              <w:rPr>
                <w:rFonts w:hint="default" w:ascii="Goudy Old Style" w:hAnsi="Goudy Old Style" w:cs="Times New Roman"/>
                <w:i/>
                <w:color w:val="000000" w:themeColor="text1"/>
                <w:sz w:val="21"/>
                <w:szCs w:val="21"/>
                <w:lang w:val="en-US"/>
                <w14:textFill>
                  <w14:solidFill>
                    <w14:schemeClr w14:val="tx1"/>
                  </w14:solidFill>
                </w14:textFill>
              </w:rPr>
              <w:t xml:space="preserve"> 01 April</w:t>
            </w:r>
            <w:r>
              <w:rPr>
                <w:rFonts w:ascii="Goudy Old Style" w:hAnsi="Goudy Old Style" w:cs="Times New Roman"/>
                <w:i/>
                <w:color w:val="000000" w:themeColor="text1"/>
                <w:sz w:val="21"/>
                <w:szCs w:val="21"/>
                <w14:textFill>
                  <w14:solidFill>
                    <w14:schemeClr w14:val="tx1"/>
                  </w14:solidFill>
                </w14:textFill>
              </w:rPr>
              <w:t>, 2026</w:t>
            </w:r>
          </w:p>
          <w:p w14:paraId="4E55C353">
            <w:pPr>
              <w:spacing w:after="0" w:line="24" w:lineRule="atLeast"/>
              <w:rPr>
                <w:rFonts w:ascii="Goudy Old Style" w:hAnsi="Goudy Old Style" w:cs="Times New Roman"/>
                <w:i/>
                <w:color w:val="000000" w:themeColor="text1"/>
                <w:sz w:val="21"/>
                <w:szCs w:val="21"/>
                <w14:textFill>
                  <w14:solidFill>
                    <w14:schemeClr w14:val="tx1"/>
                  </w14:solidFill>
                </w14:textFill>
              </w:rPr>
            </w:pPr>
            <w:r>
              <w:rPr>
                <w:rFonts w:ascii="Goudy Old Style" w:hAnsi="Goudy Old Style" w:cs="Times New Roman"/>
                <w:i/>
                <w:color w:val="000000" w:themeColor="text1"/>
                <w:sz w:val="21"/>
                <w:szCs w:val="21"/>
                <w14:textFill>
                  <w14:solidFill>
                    <w14:schemeClr w14:val="tx1"/>
                  </w14:solidFill>
                </w14:textFill>
              </w:rPr>
              <w:t xml:space="preserve">Accepted on </w:t>
            </w:r>
            <w:r>
              <w:rPr>
                <w:rFonts w:hint="default" w:ascii="Goudy Old Style" w:hAnsi="Goudy Old Style" w:cs="Times New Roman"/>
                <w:i/>
                <w:color w:val="000000" w:themeColor="text1"/>
                <w:sz w:val="21"/>
                <w:szCs w:val="21"/>
                <w:lang w:val="en-US"/>
                <w14:textFill>
                  <w14:solidFill>
                    <w14:schemeClr w14:val="tx1"/>
                  </w14:solidFill>
                </w14:textFill>
              </w:rPr>
              <w:t>26 April</w:t>
            </w:r>
            <w:r>
              <w:rPr>
                <w:rFonts w:ascii="Goudy Old Style" w:hAnsi="Goudy Old Style" w:cs="Times New Roman"/>
                <w:i/>
                <w:color w:val="000000" w:themeColor="text1"/>
                <w:sz w:val="21"/>
                <w:szCs w:val="21"/>
                <w14:textFill>
                  <w14:solidFill>
                    <w14:schemeClr w14:val="tx1"/>
                  </w14:solidFill>
                </w14:textFill>
              </w:rPr>
              <w:t>, 2026</w:t>
            </w:r>
          </w:p>
          <w:p w14:paraId="42EDCDE0">
            <w:pPr>
              <w:spacing w:after="0" w:line="24" w:lineRule="atLeast"/>
              <w:rPr>
                <w:rFonts w:ascii="Goudy Old Style" w:hAnsi="Goudy Old Style" w:cs="Times New Roman"/>
                <w:b/>
                <w:bCs/>
                <w:i/>
                <w:color w:val="000000" w:themeColor="text1"/>
                <w:sz w:val="21"/>
                <w:szCs w:val="21"/>
                <w14:textFill>
                  <w14:solidFill>
                    <w14:schemeClr w14:val="tx1"/>
                  </w14:solidFill>
                </w14:textFill>
              </w:rPr>
            </w:pPr>
            <w:r>
              <w:rPr>
                <w:rFonts w:ascii="Goudy Old Style" w:hAnsi="Goudy Old Style" w:cs="Times New Roman"/>
                <w:i/>
                <w:color w:val="000000" w:themeColor="text1"/>
                <w:sz w:val="21"/>
                <w:szCs w:val="21"/>
                <w14:textFill>
                  <w14:solidFill>
                    <w14:schemeClr w14:val="tx1"/>
                  </w14:solidFill>
                </w14:textFill>
              </w:rPr>
              <w:t xml:space="preserve">Published on </w:t>
            </w:r>
            <w:r>
              <w:rPr>
                <w:rFonts w:hint="default" w:ascii="Goudy Old Style" w:hAnsi="Goudy Old Style" w:cs="Times New Roman"/>
                <w:i/>
                <w:color w:val="000000" w:themeColor="text1"/>
                <w:sz w:val="21"/>
                <w:szCs w:val="21"/>
                <w:lang w:val="en-US"/>
                <w14:textFill>
                  <w14:solidFill>
                    <w14:schemeClr w14:val="tx1"/>
                  </w14:solidFill>
                </w14:textFill>
              </w:rPr>
              <w:t>28 April</w:t>
            </w:r>
            <w:r>
              <w:rPr>
                <w:rFonts w:ascii="Goudy Old Style" w:hAnsi="Goudy Old Style" w:cs="Times New Roman"/>
                <w:i/>
                <w:color w:val="000000" w:themeColor="text1"/>
                <w:sz w:val="21"/>
                <w:szCs w:val="21"/>
                <w14:textFill>
                  <w14:solidFill>
                    <w14:schemeClr w14:val="tx1"/>
                  </w14:solidFill>
                </w14:textFill>
              </w:rPr>
              <w:t>, 2026</w:t>
            </w:r>
          </w:p>
        </w:tc>
        <w:tc>
          <w:tcPr>
            <w:tcW w:w="6868" w:type="dxa"/>
            <w:vMerge w:val="continue"/>
          </w:tcPr>
          <w:p w14:paraId="432A4B1A">
            <w:pPr>
              <w:spacing w:after="0" w:line="24" w:lineRule="atLeast"/>
              <w:rPr>
                <w:rFonts w:ascii="Goudy Old Style" w:hAnsi="Goudy Old Style" w:cs="Times New Roman"/>
                <w:b/>
                <w:bCs/>
                <w:i/>
                <w:iCs/>
                <w:color w:val="000000" w:themeColor="text1"/>
                <w:sz w:val="20"/>
                <w:szCs w:val="20"/>
                <w14:textFill>
                  <w14:solidFill>
                    <w14:schemeClr w14:val="tx1"/>
                  </w14:solidFill>
                </w14:textFill>
              </w:rPr>
            </w:pPr>
          </w:p>
        </w:tc>
      </w:tr>
      <w:tr w14:paraId="0B8B0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87" w:type="dxa"/>
            <w:shd w:val="clear" w:color="auto" w:fill="E7E6E6" w:themeFill="background2"/>
          </w:tcPr>
          <w:p w14:paraId="438C7F54">
            <w:pPr>
              <w:spacing w:after="0" w:line="24" w:lineRule="atLeast"/>
              <w:rPr>
                <w:rFonts w:ascii="Goudy Old Style" w:hAnsi="Goudy Old Style" w:cs="Times New Roman"/>
                <w:b/>
                <w:bCs/>
                <w:i/>
                <w:color w:val="000000" w:themeColor="text1"/>
                <w:sz w:val="21"/>
                <w:szCs w:val="21"/>
                <w14:textFill>
                  <w14:solidFill>
                    <w14:schemeClr w14:val="tx1"/>
                  </w14:solidFill>
                </w14:textFill>
              </w:rPr>
            </w:pPr>
          </w:p>
        </w:tc>
        <w:tc>
          <w:tcPr>
            <w:tcW w:w="6868" w:type="dxa"/>
            <w:vMerge w:val="continue"/>
          </w:tcPr>
          <w:p w14:paraId="3830A0B1">
            <w:pPr>
              <w:spacing w:after="0" w:line="24" w:lineRule="atLeast"/>
              <w:rPr>
                <w:rFonts w:ascii="Goudy Old Style" w:hAnsi="Goudy Old Style" w:cs="Times New Roman"/>
                <w:b/>
                <w:bCs/>
                <w:i/>
                <w:iCs/>
                <w:color w:val="000000" w:themeColor="text1"/>
                <w:sz w:val="20"/>
                <w:szCs w:val="20"/>
                <w14:textFill>
                  <w14:solidFill>
                    <w14:schemeClr w14:val="tx1"/>
                  </w14:solidFill>
                </w14:textFill>
              </w:rPr>
            </w:pPr>
          </w:p>
        </w:tc>
      </w:tr>
      <w:tr w14:paraId="19D29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87" w:type="dxa"/>
            <w:shd w:val="clear" w:color="auto" w:fill="E7E6E6" w:themeFill="background2"/>
          </w:tcPr>
          <w:p w14:paraId="3A9F3AE1">
            <w:pPr>
              <w:spacing w:after="0" w:line="24" w:lineRule="atLeast"/>
              <w:rPr>
                <w:rFonts w:ascii="Goudy Old Style" w:hAnsi="Goudy Old Style" w:cs="Times New Roman"/>
                <w:color w:val="000000" w:themeColor="text1"/>
                <w:sz w:val="21"/>
                <w:szCs w:val="21"/>
                <w14:textFill>
                  <w14:solidFill>
                    <w14:schemeClr w14:val="tx1"/>
                  </w14:solidFill>
                </w14:textFill>
              </w:rPr>
            </w:pPr>
            <w:r>
              <w:rPr>
                <w:rFonts w:ascii="Goudy Old Style" w:hAnsi="Goudy Old Style" w:cs="Times New Roman"/>
                <w:b/>
                <w:bCs/>
                <w:color w:val="000000" w:themeColor="text1"/>
                <w:sz w:val="21"/>
                <w:szCs w:val="21"/>
                <w14:textFill>
                  <w14:solidFill>
                    <w14:schemeClr w14:val="tx1"/>
                  </w14:solidFill>
                </w14:textFill>
              </w:rPr>
              <w:t xml:space="preserve">Copyright </w:t>
            </w:r>
            <w:r>
              <w:rPr>
                <w:rFonts w:ascii="Goudy Old Style" w:hAnsi="Goudy Old Style" w:cs="Times New Roman"/>
                <w:color w:val="000000" w:themeColor="text1"/>
                <w:sz w:val="21"/>
                <w:szCs w:val="21"/>
                <w14:textFill>
                  <w14:solidFill>
                    <w14:schemeClr w14:val="tx1"/>
                  </w14:solidFill>
                </w14:textFill>
              </w:rPr>
              <w:t>@Author</w:t>
            </w:r>
          </w:p>
          <w:p w14:paraId="00E39E25">
            <w:pPr>
              <w:spacing w:after="0" w:line="24" w:lineRule="atLeast"/>
              <w:rPr>
                <w:rFonts w:hint="default" w:ascii="Goudy Old Style" w:hAnsi="Goudy Old Style" w:cstheme="majorBidi"/>
                <w:b/>
                <w:iCs/>
                <w:color w:val="000000" w:themeColor="text1"/>
                <w:sz w:val="21"/>
                <w:szCs w:val="21"/>
                <w:lang w:val="en-US"/>
                <w14:textFill>
                  <w14:solidFill>
                    <w14:schemeClr w14:val="tx1"/>
                  </w14:solidFill>
                </w14:textFill>
              </w:rPr>
            </w:pPr>
            <w:r>
              <w:rPr>
                <w:rFonts w:ascii="Goudy Old Style" w:hAnsi="Goudy Old Style" w:cstheme="majorBidi"/>
                <w:b/>
                <w:iCs/>
                <w:color w:val="000000" w:themeColor="text1"/>
                <w:sz w:val="21"/>
                <w:szCs w:val="21"/>
                <w14:textFill>
                  <w14:solidFill>
                    <w14:schemeClr w14:val="tx1"/>
                  </w14:solidFill>
                </w14:textFill>
              </w:rPr>
              <w:t>Corresponding Author:</w:t>
            </w:r>
          </w:p>
        </w:tc>
        <w:tc>
          <w:tcPr>
            <w:tcW w:w="6868" w:type="dxa"/>
            <w:vMerge w:val="continue"/>
          </w:tcPr>
          <w:p w14:paraId="0D98C451">
            <w:pPr>
              <w:spacing w:after="0" w:line="24" w:lineRule="atLeast"/>
              <w:rPr>
                <w:rFonts w:ascii="Goudy Old Style" w:hAnsi="Goudy Old Style" w:cs="Times New Roman"/>
                <w:b/>
                <w:bCs/>
                <w:color w:val="000000" w:themeColor="text1"/>
                <w:sz w:val="20"/>
                <w:szCs w:val="20"/>
                <w14:textFill>
                  <w14:solidFill>
                    <w14:schemeClr w14:val="tx1"/>
                  </w14:solidFill>
                </w14:textFill>
              </w:rPr>
            </w:pPr>
          </w:p>
        </w:tc>
      </w:tr>
    </w:tbl>
    <w:p w14:paraId="44B4E7EC">
      <w:pPr>
        <w:rPr>
          <w:rFonts w:hint="default" w:ascii="Goudy Old Style" w:hAnsi="Goudy Old Style" w:cs="Goudy Old Style"/>
          <w:sz w:val="22"/>
          <w:szCs w:val="22"/>
          <w:lang w:val="en-US"/>
        </w:rPr>
        <w:sectPr>
          <w:headerReference r:id="rId5" w:type="default"/>
          <w:footerReference r:id="rId6" w:type="default"/>
          <w:type w:val="continuous"/>
          <w:pgSz w:w="12240" w:h="15840"/>
          <w:pgMar w:top="1380" w:right="1080" w:bottom="1483" w:left="1080" w:header="0" w:footer="725" w:gutter="0"/>
          <w:cols w:space="425" w:num="1"/>
        </w:sectPr>
      </w:pPr>
      <w:r>
        <w:rPr>
          <w:rFonts w:hint="default" w:ascii="Goudy Old Style" w:hAnsi="Goudy Old Style" w:cs="Goudy Old Style"/>
          <w:sz w:val="22"/>
          <w:szCs w:val="22"/>
          <w:lang w:val="en-US"/>
        </w:rPr>
        <w:br w:type="page"/>
      </w:r>
    </w:p>
    <w:p w14:paraId="2D6197F0">
      <w:pPr>
        <w:pStyle w:val="2"/>
        <w:keepLines w:val="0"/>
        <w:pageBreakBefore w:val="0"/>
        <w:widowControl/>
        <w:numPr>
          <w:numId w:val="0"/>
        </w:numPr>
        <w:tabs>
          <w:tab w:val="left" w:pos="345"/>
        </w:tabs>
        <w:kinsoku/>
        <w:wordWrap/>
        <w:overflowPunct/>
        <w:topLinePunct w:val="0"/>
        <w:autoSpaceDE/>
        <w:autoSpaceDN/>
        <w:bidi w:val="0"/>
        <w:adjustRightInd/>
        <w:snapToGrid/>
        <w:spacing w:before="0" w:beforeAutospacing="0" w:after="0" w:afterAutospacing="0" w:line="24" w:lineRule="atLeast"/>
        <w:ind w:leftChars="0" w:right="0" w:rightChars="0"/>
        <w:jc w:val="both"/>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1. Introduction</w:t>
      </w:r>
    </w:p>
    <w:p w14:paraId="0FA8A4C9">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2D043A90">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Atmospheric CO₂ concentrations have risen dramatically since industrialisation, making climate-change mitigation a global priority (Solomon et al., 2009). Photocatalytic CO₂ reduction has emerged as a promising solar-driven strategy that simultaneously reduces atmospheric CO₂ and generates renewable fuels, mimicking natural photosynthesis (Zhu and Wang, 2017). The efficiency of this process depends on three coupled steps: light absorption to generate electron–hole pairs, efficient charge separation, and selective surface catalytic reactions (Saravanan et al., 2021).</w:t>
      </w:r>
    </w:p>
    <w:p w14:paraId="5E3498F1">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Traditional photocatalysts such as TiO₂ are constrained by their wide bandgap (∼3.2 eV), restricting absorption to ultraviolet light and limiting solar energy utilisation (Usubharatana et al., 2006). Graphitic carbon nitride (g-C₃N₄), a visible-light-responsive metal-free semiconductor with a bandgap of ∼2.7 eV, has attracted intensive research attention as a more sustainable alternative (Ong et al., 2016). When coupled with cerium dioxide (CeO₂), which possesses exceptional oxygen-storage capacity and redox flexibility, a synergistic composite is formed that overcomes the individual limitations of each material (Liang et al., 2019). Deposition of platinum (Pt) as a noble metal cocatalyst further amplifies performance through Schottky junction formation and concentrated electron trapping at active sites (Tasbihi et al., 2018).</w:t>
      </w:r>
    </w:p>
    <w:p w14:paraId="10B0DDB9">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This review examines the synthesis, characterisation, mechanistic understanding, and photocatalytic performance of the g-C₃N₄/CeO₂/Pt ternary system for CO₂ reduction, drawing on the MPhil research of Mahrukh (2024) at Riphah International University and the broader literature.</w:t>
      </w:r>
    </w:p>
    <w:p w14:paraId="618C1DB3">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2. Principles of Photocatalytic CO₂ Reduction</w:t>
      </w:r>
    </w:p>
    <w:p w14:paraId="5423A546">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2.1 Fundamental Mechanism</w:t>
      </w:r>
    </w:p>
    <w:p w14:paraId="4AB557B9">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Photocatalytic CO₂ reduction proceeds via absorption of photons with energy ≥ the semiconductor bandgap, exciting electrons from the valence band (VB) to the conduction band (CB) and creating electron–hole pairs (Shimura and Yoshida, 2011). The photogenerated electrons reduce CO₂ adsorbed on the catalyst surface, while holes oxidise water or sacrificial reagents. Multiple reduction products are thermodynamically accessible, including CO, HCOOH, CH₂O, CH₃OH, and CH₄, each requiring different numbers of electrons and protons (Vijayaraghavan and Ashok, 2022).</w:t>
      </w:r>
    </w:p>
    <w:p w14:paraId="3871E48B">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2BA753C6">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3810000" cy="2857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srcRect/>
                    <a:stretch>
                      <a:fillRect/>
                    </a:stretch>
                  </pic:blipFill>
                  <pic:spPr>
                    <a:xfrm>
                      <a:off x="0" y="0"/>
                      <a:ext cx="3810000" cy="2857500"/>
                    </a:xfrm>
                    <a:prstGeom prst="rect">
                      <a:avLst/>
                    </a:prstGeom>
                  </pic:spPr>
                </pic:pic>
              </a:graphicData>
            </a:graphic>
          </wp:inline>
        </w:drawing>
      </w:r>
    </w:p>
    <w:p w14:paraId="2697670B">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1. Schematic of the photocatalytic CO₂ reduction mechanism showing light absorption, charge-carrier generation and separation, and surface redox reactions.</w:t>
      </w:r>
    </w:p>
    <w:p w14:paraId="04EE02F7">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sectPr>
          <w:type w:val="continuous"/>
          <w:pgSz w:w="12240" w:h="15840"/>
          <w:pgMar w:top="1440" w:right="1440" w:bottom="1440" w:left="1440" w:header="720" w:footer="720" w:gutter="0"/>
          <w:cols w:space="720" w:num="1"/>
          <w:docGrid w:linePitch="360" w:charSpace="0"/>
        </w:sectPr>
      </w:pPr>
    </w:p>
    <w:p w14:paraId="5FA6835A">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2.2 Key Challenges</w:t>
      </w:r>
    </w:p>
    <w:p w14:paraId="62B1831C">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Despite its promise, photocatalytic CO₂ reduction faces several challenges. CO₂ is chemically inert, with a strong C=O bond (750 kJ/mol), requiring substantial activation energy (Xu et al., 2023). Rapid electron–hole recombination in most semiconductors severely limits quantum efficiency (Clarke and Durrant, 2010). Selectivity control is difficult because CO₂ reduction is a multi-electron, multi-proton process with numerous competing pathways. Furthermore, CO₂ adsorption on catalyst surfaces is often insufficient owing to low surface areas and poor surface basicity (Mo et al., 2019). Composite catalyst engineering addresses all four limitations simultaneously.</w:t>
      </w:r>
    </w:p>
    <w:p w14:paraId="782F0DDA">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3. Photocatalyst Materials</w:t>
      </w:r>
    </w:p>
    <w:p w14:paraId="1B1D6F3C">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3.1 Graphitic Carbon Nitride (g-C₃N₄)</w:t>
      </w:r>
    </w:p>
    <w:p w14:paraId="2CFA9C89">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g-C₃N₄ is a two-dimensional polymeric semiconductor constructed from carbon and nitrogen atoms arranged in layered heptazine units linked by tertiary nitrogen bridges (Ong et al., 2016). Its conjugated network facilitates efficient charge-carrier transport, while a bandgap of ∼2.7 eV enables visible-light absorption across a substantial fraction of the solar spectrum (Jia et al., 2020). High chemical and thermal stability allows operation under harsh conditions without degradation (Balakrishnan and Chinthala, 2022). g-C₃N₄ is non-toxic and synthesisable from abundant precursors such as urea or melamine by simple thermal polycondensation, satisfying green-chemistry principles (Reddy et al., 2019).</w:t>
      </w:r>
    </w:p>
    <w:p w14:paraId="166AA785">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Pristine g-C₃N₄, however, suffers from a relatively low surface area that limits CO₂ adsorption, rapid charge-carrier recombination, and restricted product selectivity. Chen et al. (2022) demonstrated that g-C₃N₄ undergoes self-decomposition during gas–solid photocatalytic CO₂ reduction, generating CO and CO₂ as artefacts that can confound product quantification. These limitations motivate heterojunction and cocatalyst strategies (Wang et al., 2022; Prasad et al., 2023).</w:t>
      </w:r>
    </w:p>
    <w:p w14:paraId="71251C34">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3.2 Cerium Dioxide (CeO₂)</w:t>
      </w:r>
    </w:p>
    <w:p w14:paraId="1812AC28">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CeO₂ (ceria) is a rare-earth metal oxide widely applied in catalysis owing to its outstanding redox properties and oxygen-storage capacity. The reversible Ce³⁺↔Ce⁴⁺ cycling enables ceria to store and release oxygen ions, promoting both oxidation and reduction reactions (Montini et al., 2016). CeO₂ crystallises in a fluorite-type cubic structure; intrinsic oxygen vacancies in this framework serve as active sites for CO₂ adsorption and activation (Su et al., 2020).</w:t>
      </w:r>
    </w:p>
    <w:p w14:paraId="4199DEEA">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538A0A5F">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3810000" cy="25717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
                    <a:srcRect/>
                    <a:stretch>
                      <a:fillRect/>
                    </a:stretch>
                  </pic:blipFill>
                  <pic:spPr>
                    <a:xfrm>
                      <a:off x="0" y="0"/>
                      <a:ext cx="3810000" cy="2571750"/>
                    </a:xfrm>
                    <a:prstGeom prst="rect">
                      <a:avLst/>
                    </a:prstGeom>
                  </pic:spPr>
                </pic:pic>
              </a:graphicData>
            </a:graphic>
          </wp:inline>
        </w:drawing>
      </w:r>
    </w:p>
    <w:p w14:paraId="04119CC6">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2. Cerium dioxide nanoparticle synthesis via precipitation at constant pH (Shlapa et al., 2022).</w:t>
      </w:r>
    </w:p>
    <w:p w14:paraId="1DE2B742">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2A8EDE62">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Although CeO₂ alone displays limited photocatalytic activity for CO₂ reduction owing to its wide bandgap (∼3.2 eV), its exceptional oxygen-storage capacity, abundant surface hydroxyl groups, and surface-defect chemistry make it an outstanding complementary component in composite photocatalysts (Sahu et al., 2023). CeO₂ is also thermally stable, inexpensive, and non-toxic, supporting its practical deployment (Yang et al., 2019).</w:t>
      </w:r>
    </w:p>
    <w:p w14:paraId="6031433B">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3.3 The g-C₃N₄/CeO₂ Composite</w:t>
      </w:r>
    </w:p>
    <w:p w14:paraId="7DE3F493">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The g-C₃N₄/CeO₂ composite exploits the complementarity of both materials (Wei et al., 2021). Band alignment at the heterojunction drives interfacial electron transfer from the g-C₃N₄ CB to CeO₂, while holes remain in the g-C₃N₄ VB, spatially separating charge carriers and suppressing recombination (Darkwah and Oswald, 2019). Visible-light sensitisation by g-C₃N₄ compensates for CeO₂’s wide bandgap, while oxygen vacancies of CeO₂ furnish Lewis-acid sites for CO₂ adsorption and activation (Liang et al., 2019).</w:t>
      </w:r>
    </w:p>
    <w:p w14:paraId="4959E132">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73391471">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572000" cy="24574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0"/>
                    <a:srcRect/>
                    <a:stretch>
                      <a:fillRect/>
                    </a:stretch>
                  </pic:blipFill>
                  <pic:spPr>
                    <a:xfrm>
                      <a:off x="0" y="0"/>
                      <a:ext cx="4572000" cy="2457450"/>
                    </a:xfrm>
                    <a:prstGeom prst="rect">
                      <a:avLst/>
                    </a:prstGeom>
                  </pic:spPr>
                </pic:pic>
              </a:graphicData>
            </a:graphic>
          </wp:inline>
        </w:drawing>
      </w:r>
    </w:p>
    <w:p w14:paraId="6E022FC6">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3. Schematic of g-C₃N₄/CeO₂ composite synthesis and formation mechanism (Lu, Wang and Wang, 2021).</w:t>
      </w:r>
    </w:p>
    <w:p w14:paraId="7497E152">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50501CA8">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Multiple heterojunction architectures have been reported. Qiao et al. (2018) demonstrated direct Z-scheme charge transfer in hierarchical g-C₃N₄/CeO₂, achieving methylene blue degradation 30.8 times faster than bulk g-C₃N₄. Xie et al. (2022) constructed 1D/2D CeO₂ nanotube/g-C₃N₄ Step-scheme heterojunctions, where oxygen vacancies enhanced photoresponse and charge separation. More recently, Wang et al. (2024) reported a built-in electric field-assisted 2D/1D S-scheme heterojunction achieving highly selective CO₂ photoreduction. These collective findings establish the g-C₃N₄/CeO₂ platform as exceptionally versatile.</w:t>
      </w:r>
    </w:p>
    <w:p w14:paraId="18355E6F">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3.4 Platinum (Pt) as a Cocatalyst</w:t>
      </w:r>
    </w:p>
    <w:p w14:paraId="28DE2C04">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Pt is widely regarded as the most effective noble-metal cocatalyst for photocatalytic reactions (Cao et al., 2017). When deposited on a semiconductor, Pt nanoparticles form Schottky junctions at the metal–semiconductor interface. The resulting Schottky barrier drives unidirectional electron transfer from the semiconductor to Pt, significantly enhancing charge separation (Bedin et al., 2020). Pt also lowers the activation energy for key elementary steps in CO₂ reduction, including CO₂ adsorption, C–O bond weakening, and product desorption (Xia et al., 2021).</w:t>
      </w:r>
    </w:p>
    <w:p w14:paraId="5939F53C">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5A23D891">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286250" cy="2219325"/>
            <wp:effectExtent l="0" t="0" r="635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1"/>
                    <a:srcRect/>
                    <a:stretch>
                      <a:fillRect/>
                    </a:stretch>
                  </pic:blipFill>
                  <pic:spPr>
                    <a:xfrm>
                      <a:off x="0" y="0"/>
                      <a:ext cx="4286250" cy="2219325"/>
                    </a:xfrm>
                    <a:prstGeom prst="rect">
                      <a:avLst/>
                    </a:prstGeom>
                  </pic:spPr>
                </pic:pic>
              </a:graphicData>
            </a:graphic>
          </wp:inline>
        </w:drawing>
      </w:r>
    </w:p>
    <w:p w14:paraId="331387F6">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4. Mechanisms of cocatalysts in photocatalysis illustrating Schottky junction electron-transfer pathways (Maeda, 2011).</w:t>
      </w:r>
    </w:p>
    <w:p w14:paraId="0B5F292A">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74E2BD42">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Tasbihi et al. (2018) demonstrated that 1.5 wt% Pt loaded on mesoporous g-C₃N₄ yielded 13.9 μmol/gₙₐₜ of CH₄ over 18 h under UV light, 32 times greater than commercial TiO₂ P25, attributing the gain to reduced Fermi-level energy in the Pt–g-C₃N₄ hybrid and suppressed electron–hole recombination. Li et al. (2021) showed that controlled Pt/Au cluster loading on red g-C₃N₄ nanosheets via mechanical-chemical pre-reaction produced H₂ at 4.82 μmol/g/h and CH₄ at 5,057 μmol/g/h, with Z-scheme heterostructure formation identified as the primary driver. The high cost of Pt motivates ongoing research into earth-abundant alternatives, yet Pt remains the performance benchmark (Ling et al., 2022).</w:t>
      </w:r>
    </w:p>
    <w:p w14:paraId="1AC0B1B6">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18703416">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000500" cy="30956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2"/>
                    <a:srcRect/>
                    <a:stretch>
                      <a:fillRect/>
                    </a:stretch>
                  </pic:blipFill>
                  <pic:spPr>
                    <a:xfrm>
                      <a:off x="0" y="0"/>
                      <a:ext cx="4000500" cy="3095625"/>
                    </a:xfrm>
                    <a:prstGeom prst="rect">
                      <a:avLst/>
                    </a:prstGeom>
                  </pic:spPr>
                </pic:pic>
              </a:graphicData>
            </a:graphic>
          </wp:inline>
        </w:drawing>
      </w:r>
    </w:p>
    <w:p w14:paraId="000A421C">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5. Pt incorporation into g-C₃N₄/CeO₂ composites showing Schottky junction formation and electron-transfer pathways (Li et al., 2021).</w:t>
      </w:r>
    </w:p>
    <w:p w14:paraId="5F256C60">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sectPr>
          <w:type w:val="continuous"/>
          <w:pgSz w:w="12240" w:h="15840"/>
          <w:pgMar w:top="1440" w:right="1440" w:bottom="1440" w:left="1440" w:header="720" w:footer="720" w:gutter="0"/>
          <w:cols w:space="720" w:num="1"/>
          <w:docGrid w:linePitch="360" w:charSpace="0"/>
        </w:sectPr>
      </w:pPr>
    </w:p>
    <w:p w14:paraId="2C3D84FC">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4. Survey of Related Literature</w:t>
      </w:r>
    </w:p>
    <w:p w14:paraId="366A3878">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Tasbihi et al. (2018) investigated mesoporous polymeric g-C₃N₄ loaded with Pt nanoparticles for CO₂ photoreduction to CH₄ under UV irradiation. At 1.5 wt% Pt, CH₄ yield reached 13.9 μmol/gₙₐₜ over 18 h, surpassing pure g-C₃N₄ twofold and TiO₂ P25 by a factor of 32. The enhanced performance was attributed to improved interfacial electron transfer from g-C₃N₄ to Pt, confirmed by photoelectrochemical studies showing lower Fermi-level energy in the hybrid system.</w:t>
      </w:r>
    </w:p>
    <w:p w14:paraId="2E7E79F2">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Rashid et al. (2018) reported a ternary g-C₃N₄/CeO₂/Fe₃O₄ electrocatalyst for complete water splitting in 1.0 M KOH. The composite achieved OER and HER at overpotentials of 310 mV and 400 mV, respectively, with benchmark current density of 10 mA cm⁻², demonstrating the versatility of g-C₃N₄/CeO₂-based multicomponent systems beyond pure photocatalysis.</w:t>
      </w:r>
    </w:p>
    <w:p w14:paraId="05AE4D2F">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Qiao et al. (2018) synthesised hierarchical Z-scheme g-C₃N₄/CeO₂ heterojunctions by a template-free calcination route. The material achieved a methylene blue degradation rate constant of 0.246 h⁻¹ under visible light, 30.8 times faster than bulk g-C₃N₄, with the Z-scheme charge-transfer mechanism confirmed by ab initio calculations. This work established the structural importance of hierarchical morphologies for enhancing both light utilisation and charge-carrier dynamics.</w:t>
      </w:r>
    </w:p>
    <w:p w14:paraId="6D32C5AA">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Tong et al. (2019) prepared the ternary CeCeCN nanocomposite by reacting g-C₃N₄ with CeO₂ to generate an in situ CeCO₃OH interlayer, achieving H₂ evolution at 764 μmol h⁻¹ g⁻¹  11 times greater than either pure component. Enhanced photocurrent density and reduced charge-transfer resistance confirmed that heterojunction formation was the primary driver of activity.</w:t>
      </w:r>
    </w:p>
    <w:p w14:paraId="1D396C2F">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Liang et al. (2019) reported hollow heterostructured g-C₃N₄@CeO₂ photocatalysts with abundant oxygen vacancies for CO₂ photoreduction. The composite produced CO at 16.8 μmol/g, CH₃OH at 5.2 μmol/g, and CH₄ at 3.5 μmol/g under visible light, surpassing most g-C₃N₄-based systems including those with noble-metal cocatalysts. L-cysteine surface modification introduced amine groups that significantly enhanced CO₂ adsorption capacity, identified as a critical performance factor.</w:t>
      </w:r>
    </w:p>
    <w:p w14:paraId="5FB59E86">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Mo et al. (2019) fabricated nitrogen-rich g-C₃N₄ nanotubes with high surface areas by supramolecular self-assembly. The porous, metal-free photocatalyst achieved CO production at 103.6 μmol g⁻¹ h⁻¹ under visible light, 17 times faster than bulk g-C₃N₄, demonstrating that surface-area and Lewis-basic site engineering can deliver high activity without noble-metal cocatalysts.</w:t>
      </w:r>
    </w:p>
    <w:p w14:paraId="773DC57E">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Han et al. (2019) developed a Ni/NiO/g-C₃N₄ chainmail cocatalyst system for photocatalytic CO₂ reduction, attaining a CO synthesis rate of 27.9 μmol g⁻¹ h⁻¹ nine times that of pure g-C₃N₄ at 3 wt% Ni/NiO loading. DFT calculations and in situ FTIR clarified the molecular photocatalytic mechanism, offering design principles for earth-abundant cocatalysts as alternatives to Pt.</w:t>
      </w:r>
    </w:p>
    <w:p w14:paraId="41A74308">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Li et al. (2021) synthesised phosphate-surface-modified octahedral CeO₂/g-C₃N₄ (P-CeO₂/g-C₃N₄) for CO₂ photoreduction. Phosphate bridges between CeO₂ and g-C₃N₄ amino groups facilitated Z-scheme electron transfer and furnished Lewis-basic sites for CO₂ activation, yielding higher activity than either unmodified CeO₂/g-C₃N₄ or P-CeO₂ alone.</w:t>
      </w:r>
    </w:p>
    <w:p w14:paraId="58DF4370">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Aggarwal et al. (2021) reviewed ultrathin 2D g-C₃N₄ nanosheets for CO₂ photoreduction, highlighting the role of high surface-to-volume ratio, greater surface active sites, shorter charge-diffusion distances, and efficient bulk-to-surface charge transfer. The review identified key gaps in selectivity control and recommended integration with transition-metal cocatalysts.</w:t>
      </w:r>
    </w:p>
    <w:p w14:paraId="1D14589B">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Wang et al. (2022) surveyed g-C₃N₄-based CO₂ photoreduction, categorising modification strategies into four classes: doping, heterostructures, co-catalysts, and morphological alteration. The review benchmarked product yields and selectivities, concluding that combined strategies particularly heterojunction formation coupled with cocatalyst loading deliver the highest performance gains.</w:t>
      </w:r>
    </w:p>
    <w:p w14:paraId="10050EF4">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Heng et al. (2022) synthesised mesoporous g-C₃N₄ (MCN) with a large specific surface area and demonstrated a measurable positive correlation between CO₂ adsorption capacity and photocatalytic CO₂ reduction activity. Adding Ag particles further increased charge separation efficiency, revealing the synergistic interplay between adsorption-site engineering and electron-trapping cocatalysts.</w:t>
      </w:r>
    </w:p>
    <w:p w14:paraId="0EDBBC6F">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Xie et al. (2022) deposited oxygen-vacancy-rich CeO₂ nanotubes (CeNT) onto g-C₃N₄ nanosheets to form 1D/2D S-scheme heterojunctions. Addition of 28 mg CeNT markedly improved photoresponse and charge-carrier separation, with photocatalytic RhB degradation retaining activity after four cycles. Reactive-species trapping identified holes (h⁺) and superoxide radicals (•O₂⁻) as the primary active species.</w:t>
      </w:r>
    </w:p>
    <w:p w14:paraId="10838D79">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Jia et al. (2023) reviewed Z-scheme g-C₃N₄-based heterojunction photocatalysts, emphasising their high visible-light responsiveness, spatially separated redox sites, and superior photocarrier separation. Topics covered included 2D–2D coupling, heteroatom doping, hierarchical microstructure construction, and plasmonic enhancement, with applications spanning CO₂ reduction, water splitting, and pollutant degradation.</w:t>
      </w:r>
    </w:p>
    <w:p w14:paraId="0490F584">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Wang et al. (2024) constructed a directional built-in electric field-assisted 2D/1D g-C₃N₄/CeO₂ S-scheme heterojunction, achieving efficient RhB degradation and highly selective CO₂ photoreduction. The built-in field accelerated interfacial charge transfer and minimised recombination, representing the state-of-the-art in heterojunction engineering for this material system.</w:t>
      </w:r>
    </w:p>
    <w:p w14:paraId="75569975">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5. Materials and Methods</w:t>
      </w:r>
    </w:p>
    <w:p w14:paraId="1F45E439">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5.1 Synthesis of g-C₃N₄</w:t>
      </w:r>
    </w:p>
    <w:p w14:paraId="47FF4D2A">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g-C₃N₄ was synthesised by thermal polycondensation of urea as the nitrogen-rich precursor (Balakrishnan and Chinthala, 2022). Urea was placed in a covered alumina crucible and heated in a muffle furnace at the designated calcination temperature under ambient atmosphere. Progressive deammoniation forms cyanic acid, which polymerises through melamine intermediates to yield the extended heptazine-based polymer network. The resulting yellow powder was collected, ground, and stored in a desiccator for further use.</w:t>
      </w:r>
    </w:p>
    <w:p w14:paraId="76BA366A">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5.2 Synthesis of CeO₂</w:t>
      </w:r>
    </w:p>
    <w:p w14:paraId="043C3C91">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CeO₂ nanoparticles were prepared from cerium (III) nitrate hexahydrate (Ce(NO₃)₃·6H₂O) by controlled co-precipitation with sodium bicarbonate as the precipitating agent (Shlapa et al., 2022). The precipitate was filtered, washed with deionised water, dried, and calcined to convert the cerium carbonate/hydroxide precursor to crystalline CeO₂. Calcination temperature and duration were optimised to control crystallite size and oxygen-vacancy concentration.</w:t>
      </w:r>
    </w:p>
    <w:p w14:paraId="08DE249B">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5.3 Composite and Pt-Cocatalyst Preparation</w:t>
      </w:r>
    </w:p>
    <w:p w14:paraId="2A9246F5">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Three g-C₃N₄/CeO₂ composites with increasing CeO₂ content designated CeO₂-g-C₃N₄ (1), (2), and (3) were prepared by wet impregnation in dimethylcarbinol, followed by sonication and solvent evaporation under mild heating. This approach promotes intimate nanoscale contact between components, essential for effective heterojunction formation (Darkwah and Oswald, 2019). Pt was deposited by photoreduction from chloroplatinic acid (H₂PtCl₆) under UV–vis irradiation, placing Pt⁰ nanoparticles directly at photocatalytically active surface sites (Cao et al., 2017).</w:t>
      </w:r>
    </w:p>
    <w:p w14:paraId="70753180">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5.4 Photocatalytic CO₂ Reduction Testing</w:t>
      </w:r>
    </w:p>
    <w:p w14:paraId="65C0A6C5">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CO₂ reduction experiments were conducted in a sealed photoreactor irradiated by a xenon lamp (simulated solar light). Isotopically labelled ¹³CO₂ was used to confirm that detected carbon products originated from CO₂ reduction and not catalyst self-decomposition, an artefact documented for g-C₃N₄ by Chen et al. (2022). Products (CO, CH₄, H₂) were quantified by gas chromatography at regular intervals over 20 sequential measurements and five recycling cycles.</w:t>
      </w:r>
    </w:p>
    <w:p w14:paraId="65FE8E6D">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5.5 Characterisation</w:t>
      </w:r>
    </w:p>
    <w:p w14:paraId="51DC56E7">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Powder XRD (crystallographic phases, Scherrer crystallite sizes), FTIR (surface functional groups), TEM and SEM (nanoscale and microscale morphology), UV–vis diffuse reflectance spectroscopy (optical bandgap), and BET N₂ physisorption (surface area, pore structure) were employed following established protocols (Tasbihi et al., 2018; Wei et al., 2021).</w:t>
      </w:r>
    </w:p>
    <w:p w14:paraId="08761902">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08B3AA4D">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191000" cy="2362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3"/>
                    <a:srcRect/>
                    <a:stretch>
                      <a:fillRect/>
                    </a:stretch>
                  </pic:blipFill>
                  <pic:spPr>
                    <a:xfrm>
                      <a:off x="0" y="0"/>
                      <a:ext cx="4191000" cy="2362200"/>
                    </a:xfrm>
                    <a:prstGeom prst="rect">
                      <a:avLst/>
                    </a:prstGeom>
                  </pic:spPr>
                </pic:pic>
              </a:graphicData>
            </a:graphic>
          </wp:inline>
        </w:drawing>
      </w:r>
    </w:p>
    <w:p w14:paraId="5C6B327E">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6. UV-visible spectrophotometer used for optical characterisation of g-C₃N₄/CeO₂ composites.</w:t>
      </w:r>
    </w:p>
    <w:p w14:paraId="146912D8">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rPr>
      </w:pPr>
    </w:p>
    <w:p w14:paraId="357BBE03">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sectPr>
          <w:type w:val="continuous"/>
          <w:pgSz w:w="12240" w:h="15840"/>
          <w:pgMar w:top="1440" w:right="1440" w:bottom="1440" w:left="1440" w:header="720" w:footer="720" w:gutter="0"/>
          <w:cols w:space="720" w:num="1"/>
          <w:docGrid w:linePitch="360" w:charSpace="0"/>
        </w:sectPr>
      </w:pPr>
    </w:p>
    <w:p w14:paraId="0362B16C">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6. Results and Discussion</w:t>
      </w:r>
    </w:p>
    <w:p w14:paraId="51F15A09">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6.1 X-Ray Diffraction Analysis</w:t>
      </w:r>
    </w:p>
    <w:p w14:paraId="273F7DE9">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XRD provided critical structural evidence for successful composite formation (Figure 7). Pristine g-C₃N₄ exhibited a sharp peak at 2θ = 27.5° attributed to the (002) interlayer stacking of the graphitic planar structure, confirming high crystallinity (Tan et al., 2015). CeO₂ displayed its characteristic fluorite cubic pattern with a main peak at 28° and secondary peaks at 33.5°, 47.5°, and 52° corresponding to the (111), (200), (220), and (311) reflections.</w:t>
      </w:r>
    </w:p>
    <w:p w14:paraId="660301B2">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12234215">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762500" cy="2019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4"/>
                    <a:srcRect/>
                    <a:stretch>
                      <a:fillRect/>
                    </a:stretch>
                  </pic:blipFill>
                  <pic:spPr>
                    <a:xfrm>
                      <a:off x="0" y="0"/>
                      <a:ext cx="4762500" cy="2019300"/>
                    </a:xfrm>
                    <a:prstGeom prst="rect">
                      <a:avLst/>
                    </a:prstGeom>
                  </pic:spPr>
                </pic:pic>
              </a:graphicData>
            </a:graphic>
          </wp:inline>
        </w:drawing>
      </w:r>
    </w:p>
    <w:p w14:paraId="44A70CAE">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7. XRD spectra of g-C₃N₄, CeO₂, and CeO₂-g-C₃N₄ composites (samples 1–3).</w:t>
      </w:r>
    </w:p>
    <w:p w14:paraId="5F82CBA7">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All composite samples retained characteristic peaks from both components, confirming integration without undesired phase reactions. CeO₂ peak intensity decreased systematically from sample (3) to (1), reflecting decreasing CeO₂ content, while the dominant g-C₃N₄ peak persisted across all composites. Scherrer analysis revealed a reduction in CeO₂ crystallite size from 48.5 nm (pure) to ∼30 nm in all composites, indicating that g-C₃N₄ inhibits CeO₂ grain growth during synthesis (Qiao et al., 2018). These findings are consistent with Tan et al. (2015), who reported analogous peak patterns for g-C₃N₄/CeO₂ nanocomposites.</w:t>
      </w:r>
    </w:p>
    <w:p w14:paraId="7445B9AF">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Table 1. XRD analysis of CeO₂-g-C₃N₄ composites and individual components</w:t>
      </w:r>
    </w:p>
    <w:tbl>
      <w:tblPr>
        <w:tblStyle w:val="12"/>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200"/>
        <w:gridCol w:w="1560"/>
        <w:gridCol w:w="1600"/>
        <w:gridCol w:w="4000"/>
      </w:tblGrid>
      <w:tr w14:paraId="5462A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2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0FB0F128">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b/>
                <w:bCs/>
                <w:color w:val="000000" w:themeColor="text1"/>
                <w:sz w:val="18"/>
                <w:szCs w:val="18"/>
                <w14:textFill>
                  <w14:solidFill>
                    <w14:schemeClr w14:val="tx1"/>
                  </w14:solidFill>
                </w14:textFill>
              </w:rPr>
              <w:t>Material</w:t>
            </w:r>
          </w:p>
        </w:tc>
        <w:tc>
          <w:tcPr>
            <w:tcW w:w="156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57CA585F">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b/>
                <w:bCs/>
                <w:color w:val="000000" w:themeColor="text1"/>
                <w:sz w:val="18"/>
                <w:szCs w:val="18"/>
                <w14:textFill>
                  <w14:solidFill>
                    <w14:schemeClr w14:val="tx1"/>
                  </w14:solidFill>
                </w14:textFill>
              </w:rPr>
              <w:t>2θ (deg)</w:t>
            </w:r>
          </w:p>
        </w:tc>
        <w:tc>
          <w:tcPr>
            <w:tcW w:w="16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341B68A2">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b/>
                <w:bCs/>
                <w:color w:val="000000" w:themeColor="text1"/>
                <w:sz w:val="18"/>
                <w:szCs w:val="18"/>
                <w14:textFill>
                  <w14:solidFill>
                    <w14:schemeClr w14:val="tx1"/>
                  </w14:solidFill>
                </w14:textFill>
              </w:rPr>
              <w:t>Intensity (a.u.)</w:t>
            </w:r>
          </w:p>
        </w:tc>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2ECB9DEA">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b/>
                <w:bCs/>
                <w:color w:val="000000" w:themeColor="text1"/>
                <w:sz w:val="18"/>
                <w:szCs w:val="18"/>
                <w14:textFill>
                  <w14:solidFill>
                    <w14:schemeClr w14:val="tx1"/>
                  </w14:solidFill>
                </w14:textFill>
              </w:rPr>
              <w:t>Observations</w:t>
            </w:r>
          </w:p>
        </w:tc>
      </w:tr>
      <w:tr w14:paraId="60AA8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2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01A19473">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CeO₂-g-C₃N₄ (3)</w:t>
            </w:r>
          </w:p>
        </w:tc>
        <w:tc>
          <w:tcPr>
            <w:tcW w:w="156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5E5F5B2A">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28.4</w:t>
            </w:r>
          </w:p>
        </w:tc>
        <w:tc>
          <w:tcPr>
            <w:tcW w:w="16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20130FA6">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565</w:t>
            </w:r>
          </w:p>
        </w:tc>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09A47CCB">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Broad peak; small crystallite size or strain</w:t>
            </w:r>
          </w:p>
        </w:tc>
      </w:tr>
      <w:tr w14:paraId="6AF94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2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768A509C">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p>
        </w:tc>
        <w:tc>
          <w:tcPr>
            <w:tcW w:w="156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5EBDF0E7">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33.2</w:t>
            </w:r>
          </w:p>
        </w:tc>
        <w:tc>
          <w:tcPr>
            <w:tcW w:w="16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651BE369">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382</w:t>
            </w:r>
          </w:p>
        </w:tc>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18FD3661">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Shoulder peak; possible secondary phase</w:t>
            </w:r>
          </w:p>
        </w:tc>
      </w:tr>
      <w:tr w14:paraId="5B7C7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2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0ACEB328">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CeO₂-g-C₃N₄ (2)</w:t>
            </w:r>
          </w:p>
        </w:tc>
        <w:tc>
          <w:tcPr>
            <w:tcW w:w="156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645A05E1">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28.5</w:t>
            </w:r>
          </w:p>
        </w:tc>
        <w:tc>
          <w:tcPr>
            <w:tcW w:w="16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46BECEFA">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423</w:t>
            </w:r>
          </w:p>
        </w:tc>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067693DE">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Similar position; lower intensity than (3)</w:t>
            </w:r>
          </w:p>
        </w:tc>
      </w:tr>
      <w:tr w14:paraId="125A0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2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711B1D69">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CeO₂-g-C₃N₄ (1)</w:t>
            </w:r>
          </w:p>
        </w:tc>
        <w:tc>
          <w:tcPr>
            <w:tcW w:w="156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5F4BAFE3">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28.5</w:t>
            </w:r>
          </w:p>
        </w:tc>
        <w:tc>
          <w:tcPr>
            <w:tcW w:w="16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62C01F9F">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312</w:t>
            </w:r>
          </w:p>
        </w:tc>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655DDA61">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Further decrease in intensity</w:t>
            </w:r>
          </w:p>
        </w:tc>
      </w:tr>
      <w:tr w14:paraId="1EE1C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2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5A0940F5">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w:t>
            </w:r>
          </w:p>
        </w:tc>
        <w:tc>
          <w:tcPr>
            <w:tcW w:w="156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207309E9">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28.5</w:t>
            </w:r>
          </w:p>
        </w:tc>
        <w:tc>
          <w:tcPr>
            <w:tcW w:w="16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15445D17">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198</w:t>
            </w:r>
          </w:p>
        </w:tc>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26B2D1C7">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Weakest CeO₂-related peak</w:t>
            </w:r>
          </w:p>
        </w:tc>
      </w:tr>
      <w:tr w14:paraId="15BB0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2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77F80908">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g-C₃N₄</w:t>
            </w:r>
          </w:p>
        </w:tc>
        <w:tc>
          <w:tcPr>
            <w:tcW w:w="156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3A5E261B">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27.4</w:t>
            </w:r>
          </w:p>
        </w:tc>
        <w:tc>
          <w:tcPr>
            <w:tcW w:w="16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1A28F022">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412</w:t>
            </w:r>
          </w:p>
        </w:tc>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4B015DEF">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Sharp intense peak; high crystallinity</w:t>
            </w:r>
          </w:p>
        </w:tc>
      </w:tr>
    </w:tbl>
    <w:p w14:paraId="06E64EE6">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rPr>
      </w:pPr>
    </w:p>
    <w:p w14:paraId="4A7E3419">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sectPr>
          <w:type w:val="continuous"/>
          <w:pgSz w:w="12240" w:h="15840"/>
          <w:pgMar w:top="1440" w:right="1440" w:bottom="1440" w:left="1440" w:header="720" w:footer="720" w:gutter="0"/>
          <w:cols w:space="720" w:num="1"/>
          <w:docGrid w:linePitch="360" w:charSpace="0"/>
        </w:sectPr>
      </w:pPr>
    </w:p>
    <w:p w14:paraId="4BFBADEA">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6.2 FTIR Spectroscopic Analysis</w:t>
      </w:r>
    </w:p>
    <w:p w14:paraId="0F0DD2E6">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FTIR spectra provided detailed functional-group information (Figure 8). The g-C₃N₄ spectrum showed characteristic C–N and C=N stretching vibrations at 900, 1400, 1500, and 1700 cm⁻¹, and N–H bending at 1600 cm⁻¹ (Tan et al., 2015). A weak O–H stretching band at 3800 cm⁻¹ indicated surface hydroxyl groups.</w:t>
      </w:r>
    </w:p>
    <w:p w14:paraId="15328F4A">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4FA6DD2D">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3619500" cy="27717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a:srcRect/>
                    <a:stretch>
                      <a:fillRect/>
                    </a:stretch>
                  </pic:blipFill>
                  <pic:spPr>
                    <a:xfrm>
                      <a:off x="0" y="0"/>
                      <a:ext cx="3619500" cy="2771775"/>
                    </a:xfrm>
                    <a:prstGeom prst="rect">
                      <a:avLst/>
                    </a:prstGeom>
                  </pic:spPr>
                </pic:pic>
              </a:graphicData>
            </a:graphic>
          </wp:inline>
        </w:drawing>
      </w:r>
    </w:p>
    <w:p w14:paraId="030239CD">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8. FTIR spectra of g-C₃N₄, CeO₂, and CeO₂-g-C₃N₄ composites.</w:t>
      </w:r>
    </w:p>
    <w:p w14:paraId="56428ED0">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562565A7">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CeO₂ displayed O–H stretching at 3800 and 3400 cm⁻¹ from surface hydroxyl groups, with additional peaks from carbonate and surface cerium species. All three composite samples showed uniform peak positions at 3400, 1700, 1600, 1500, 1400, and 900 cm⁻¹, confirming consistent chemical composition and the preservation of both component structures after composite synthesis (Cui et al., 2020). This uniformity indicates reproducible synthesis and structural integrity of the carbon nitride framework.</w:t>
      </w:r>
    </w:p>
    <w:p w14:paraId="3B96CA10">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6.3 Transmission and Scanning Electron Microscopy</w:t>
      </w:r>
    </w:p>
    <w:p w14:paraId="0F5E156F">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TEM revealed pristine g-C₃N₄ as thin, silk-like nanosheets with characteristic wrinkle morphology, while isolated CeO₂ appeared as ∼20 nm nanoparticles with well-defined boundaries (Qiao et al., 2018). In the nanocomposites, CeO₂ nanoparticles (50–100 nm) were observed decorating the g-C₃N₄ nanosheets, indicating some agglomeration during composite formation but maintaining the intimate contact required for effective heterojunction charge transfer (Huang et al., 2020).</w:t>
      </w:r>
    </w:p>
    <w:p w14:paraId="09682014">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311B370A">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572000" cy="2343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6"/>
                    <a:srcRect/>
                    <a:stretch>
                      <a:fillRect/>
                    </a:stretch>
                  </pic:blipFill>
                  <pic:spPr>
                    <a:xfrm>
                      <a:off x="0" y="0"/>
                      <a:ext cx="4572000" cy="2343150"/>
                    </a:xfrm>
                    <a:prstGeom prst="rect">
                      <a:avLst/>
                    </a:prstGeom>
                  </pic:spPr>
                </pic:pic>
              </a:graphicData>
            </a:graphic>
          </wp:inline>
        </w:drawing>
      </w:r>
    </w:p>
    <w:p w14:paraId="401CD307">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9. SEM analysis of g-C₃N₄/CeO₂ nanocomposite: (a) lamellar g-C₃N₄ structure; (b) CeO₂ nanoparticles (50–100 nm) deposited on g-C₃N₄ surface (Mahrukh, 2024).</w:t>
      </w:r>
    </w:p>
    <w:p w14:paraId="2D9B337E">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25E6B33C">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SEM confirmed that pure g-C₃N₄ presented irregular particles with a lamellar morphology, whereas the composites showed clear morphological transformation with CeO₂ nanoparticles deposited on the g-C₃N₄ surface, creating a distinct heterostructure (Ye et al., 2023). This structural arrangement is essential for promoting interfacial charge-transfer kinetics, consistent with the enhanced photocatalytic activity observed in heterojunction systems (Xie et al., 2022).</w:t>
      </w:r>
    </w:p>
    <w:p w14:paraId="3EDEA08F">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6.4 CO₂ Photoreduction Performance</w:t>
      </w:r>
    </w:p>
    <w:p w14:paraId="3F90ADA6">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Photocatalytic performance was evaluated over 20 sequential measurement points (Figure 10) and five recycling cycles (Figure 11). CH₄ production remained stable at ∼30 μmol/g/h across all catalyst formulations, while H₂ averaged ∼35 μmol/g/h, demonstrating consistent and reproducible photocatalytic activity (Umekar et al., 2023). CO₂ conversion rates (measured as CO₂ consumption) showed greater variability, peaking below 10 μmol/g/h, consistent with the greater complexity of multi-electron CO₂ activation (Xu et al., 2023).</w:t>
      </w:r>
    </w:p>
    <w:p w14:paraId="225C6EBB">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08CAA66B">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286250" cy="3152775"/>
            <wp:effectExtent l="0" t="0" r="635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7"/>
                    <a:srcRect/>
                    <a:stretch>
                      <a:fillRect/>
                    </a:stretch>
                  </pic:blipFill>
                  <pic:spPr>
                    <a:xfrm>
                      <a:off x="0" y="0"/>
                      <a:ext cx="4286250" cy="3152775"/>
                    </a:xfrm>
                    <a:prstGeom prst="rect">
                      <a:avLst/>
                    </a:prstGeom>
                  </pic:spPr>
                </pic:pic>
              </a:graphicData>
            </a:graphic>
          </wp:inline>
        </w:drawing>
      </w:r>
    </w:p>
    <w:p w14:paraId="2C835882">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10. Impact of CeO₂ combination on g-C₃N₄ catalyst performance: production rates of CO₂, CH₄, and H₂ for different catalyst formulations across 20 measurement points.</w:t>
      </w:r>
    </w:p>
    <w:p w14:paraId="20D04EA3">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009B3A5D">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Cyclic-stability experiments confirmed excellent reproducibility for CH₄ and H₂ over five cycles. CeO₂-g-C₃N₄ (3) showed the highest peak CO₂ conversion rate (∼10 μmol/g/h in cycle 3), consistent with its highest CeO₂ content providing more active surface and oxygen-vacancy sites. Sustained multi-cycle performance is a key practical requirement, as catalyst deactivation through poisoning or sintering limits real-world applicability (Tasbihi et al., 2018).</w:t>
      </w:r>
    </w:p>
    <w:p w14:paraId="0419761B">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sectPr>
          <w:type w:val="continuous"/>
          <w:pgSz w:w="12240" w:h="15840"/>
          <w:pgMar w:top="1440" w:right="1440" w:bottom="1440" w:left="1440" w:header="720" w:footer="720" w:gutter="0"/>
          <w:cols w:equalWidth="0" w:num="2">
            <w:col w:w="4467" w:space="425"/>
            <w:col w:w="4467"/>
          </w:cols>
          <w:docGrid w:linePitch="360" w:charSpace="0"/>
        </w:sectPr>
      </w:pPr>
    </w:p>
    <w:p w14:paraId="5E94AF47">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286250" cy="342900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8"/>
                    <a:srcRect/>
                    <a:stretch>
                      <a:fillRect/>
                    </a:stretch>
                  </pic:blipFill>
                  <pic:spPr>
                    <a:xfrm>
                      <a:off x="0" y="0"/>
                      <a:ext cx="4286250" cy="3429000"/>
                    </a:xfrm>
                    <a:prstGeom prst="rect">
                      <a:avLst/>
                    </a:prstGeom>
                  </pic:spPr>
                </pic:pic>
              </a:graphicData>
            </a:graphic>
          </wp:inline>
        </w:drawing>
      </w:r>
    </w:p>
    <w:p w14:paraId="50F68330">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11. Evaluation of CeO₂-g-C₃N₄ catalyst performance over five consecutive CO₂ reduction cycles.</w:t>
      </w:r>
    </w:p>
    <w:p w14:paraId="5BECAC27">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6.5 Concentration–Time Profiles</w:t>
      </w:r>
    </w:p>
    <w:p w14:paraId="5BFE3313">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cs="Goudy Old Style"/>
        </w:rPr>
        <w:drawing>
          <wp:inline distT="0" distB="0" distL="0" distR="0">
            <wp:extent cx="4286250" cy="3400425"/>
            <wp:effectExtent l="0" t="0" r="635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9"/>
                    <a:srcRect/>
                    <a:stretch>
                      <a:fillRect/>
                    </a:stretch>
                  </pic:blipFill>
                  <pic:spPr>
                    <a:xfrm>
                      <a:off x="0" y="0"/>
                      <a:ext cx="4286250" cy="3400425"/>
                    </a:xfrm>
                    <a:prstGeom prst="rect">
                      <a:avLst/>
                    </a:prstGeom>
                  </pic:spPr>
                </pic:pic>
              </a:graphicData>
            </a:graphic>
          </wp:inline>
        </w:drawing>
      </w:r>
    </w:p>
    <w:p w14:paraId="27616A33">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Figure 12. Product concentration as a function of time for CeO₂-g-C₃N₄ (3), showing progressive accumulation from 0 to 30 min.</w:t>
      </w:r>
    </w:p>
    <w:p w14:paraId="6F760BF5">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sectPr>
          <w:type w:val="continuous"/>
          <w:pgSz w:w="12240" w:h="15840"/>
          <w:pgMar w:top="1440" w:right="1440" w:bottom="1440" w:left="1440" w:header="720" w:footer="720" w:gutter="0"/>
          <w:cols w:space="720" w:num="1"/>
          <w:docGrid w:linePitch="360" w:charSpace="0"/>
        </w:sectPr>
      </w:pPr>
    </w:p>
    <w:p w14:paraId="1C6DC5FE">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The concentration–time profile for CeO₂-g-C₃N₄ (3) showed progressive product accumulation: 0 mM at t = 0, rising to 0.0376 mM at 15 min and 0.05766 mM at 30 min (Liang et al., 2019). The quasi-linear temporal dependence indicates zero-order kinetics under the experimental conditions, consistent with rate-limiting surface reactions rather than mass-transfer constraints. This catalytic activity profile confirms that the ternary system successfully initiates and sustains the targeted chemical reactions with good efficiency.</w:t>
      </w:r>
    </w:p>
    <w:p w14:paraId="2444A25D">
      <w:pPr>
        <w:pStyle w:val="3"/>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6.6 Surface Area and Crystallite Size</w:t>
      </w:r>
    </w:p>
    <w:p w14:paraId="6E7393D3">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BET analysis revealed a dramatic increase in specific surface area upon composite formation (Table 2). Pure CeO₂ yielded only 9.45 m²/g, whereas the composites reached 28.43, 32.54, and 36.65 m²/g for samples (1), (2), and (3), respectively. This monotonic increase with g-C₃N₄ content reflects the high intrinsic surface area of the two-dimensional g-C₃N₄ framework and enhanced CO₂ adsorption capacity (Mo et al., 2019). Concurrently, crystallite size decreased from 48.5 nm to ∼30 nm, indicating that g-C₃N₄ acts as a dispersant inhibiting CeO₂ agglomeration (Guo, 2021).</w:t>
      </w:r>
    </w:p>
    <w:p w14:paraId="2899F73C">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eastAsia="Arial" w:cs="Goudy Old Style"/>
          <w:i/>
          <w:iCs/>
          <w:sz w:val="20"/>
          <w:szCs w:val="20"/>
        </w:rPr>
        <w:sectPr>
          <w:type w:val="continuous"/>
          <w:pgSz w:w="12240" w:h="15840"/>
          <w:pgMar w:top="1440" w:right="1440" w:bottom="1440" w:left="1440" w:header="720" w:footer="720" w:gutter="0"/>
          <w:cols w:equalWidth="0" w:num="2">
            <w:col w:w="4467" w:space="425"/>
            <w:col w:w="4467"/>
          </w:cols>
          <w:docGrid w:linePitch="360" w:charSpace="0"/>
        </w:sectPr>
      </w:pPr>
    </w:p>
    <w:p w14:paraId="7FF23695">
      <w:pPr>
        <w:keepNext w:val="0"/>
        <w:keepLines w:val="0"/>
        <w:pageBreakBefore w:val="0"/>
        <w:widowControl/>
        <w:kinsoku/>
        <w:wordWrap/>
        <w:overflowPunct/>
        <w:topLinePunct w:val="0"/>
        <w:autoSpaceDE/>
        <w:autoSpaceDN/>
        <w:bidi w:val="0"/>
        <w:adjustRightInd/>
        <w:snapToGrid/>
        <w:spacing w:after="0"/>
        <w:ind w:left="0"/>
        <w:jc w:val="center"/>
        <w:textAlignment w:val="auto"/>
        <w:rPr>
          <w:rFonts w:hint="default" w:ascii="Goudy Old Style" w:hAnsi="Goudy Old Style" w:cs="Goudy Old Style"/>
        </w:rPr>
      </w:pPr>
      <w:r>
        <w:rPr>
          <w:rFonts w:hint="default" w:ascii="Goudy Old Style" w:hAnsi="Goudy Old Style" w:eastAsia="Arial" w:cs="Goudy Old Style"/>
          <w:i/>
          <w:iCs/>
          <w:sz w:val="20"/>
          <w:szCs w:val="20"/>
        </w:rPr>
        <w:t>Table 2. Crystallite size and BET surface area of CeO₂ and CeO₂-g-C₃N₄ composites with Pt cocatalyst</w:t>
      </w:r>
    </w:p>
    <w:tbl>
      <w:tblPr>
        <w:tblStyle w:val="12"/>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4000"/>
        <w:gridCol w:w="2680"/>
        <w:gridCol w:w="2680"/>
      </w:tblGrid>
      <w:tr w14:paraId="53BDF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516BCABD">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b/>
                <w:bCs/>
                <w:color w:val="000000" w:themeColor="text1"/>
                <w:sz w:val="18"/>
                <w:szCs w:val="18"/>
                <w14:textFill>
                  <w14:solidFill>
                    <w14:schemeClr w14:val="tx1"/>
                  </w14:solidFill>
                </w14:textFill>
              </w:rPr>
              <w:t>Sample</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1B4E2EEE">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b/>
                <w:bCs/>
                <w:color w:val="000000" w:themeColor="text1"/>
                <w:sz w:val="18"/>
                <w:szCs w:val="18"/>
                <w14:textFill>
                  <w14:solidFill>
                    <w14:schemeClr w14:val="tx1"/>
                  </w14:solidFill>
                </w14:textFill>
              </w:rPr>
              <w:t>Crystallite Size D (nm)</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737F1DE3">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b/>
                <w:bCs/>
                <w:color w:val="000000" w:themeColor="text1"/>
                <w:sz w:val="18"/>
                <w:szCs w:val="18"/>
                <w14:textFill>
                  <w14:solidFill>
                    <w14:schemeClr w14:val="tx1"/>
                  </w14:solidFill>
                </w14:textFill>
              </w:rPr>
              <w:t>BET Surface Area (m²/g)</w:t>
            </w:r>
          </w:p>
        </w:tc>
      </w:tr>
      <w:tr w14:paraId="71E44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42666190">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12F17164">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48.5</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2D583B28">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9.45</w:t>
            </w:r>
          </w:p>
        </w:tc>
      </w:tr>
      <w:tr w14:paraId="2BD7A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2DB8D94F">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CeO₂-g-C₃N₄ (1)</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6BF2379E">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31.32</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4E5DDBC6">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28.43</w:t>
            </w:r>
          </w:p>
        </w:tc>
      </w:tr>
      <w:tr w14:paraId="30253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494F90EF">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CeO₂-g-C₃N₄ (2)</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608D129C">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30.15</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1C4E5A3E">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32.54</w:t>
            </w:r>
          </w:p>
        </w:tc>
      </w:tr>
      <w:tr w14:paraId="70361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400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43DDD165">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CeO₂-g-C₃N₄ (3)</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3CA2BBB9">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30.03</w:t>
            </w:r>
          </w:p>
        </w:tc>
        <w:tc>
          <w:tcPr>
            <w:tcW w:w="2680" w:type="dxa"/>
            <w:tcBorders>
              <w:top w:val="single" w:color="999999" w:sz="0" w:space="0"/>
              <w:left w:val="single" w:color="999999" w:sz="0" w:space="0"/>
              <w:bottom w:val="single" w:color="999999" w:sz="0" w:space="0"/>
              <w:right w:val="single" w:color="999999" w:sz="0" w:space="0"/>
            </w:tcBorders>
            <w:shd w:val="clear" w:color="auto" w:fill="auto"/>
            <w:tcMar>
              <w:top w:w="60" w:type="dxa"/>
              <w:left w:w="100" w:type="dxa"/>
              <w:bottom w:w="60" w:type="dxa"/>
              <w:right w:w="100" w:type="dxa"/>
            </w:tcMar>
          </w:tcPr>
          <w:p w14:paraId="7C6A55FC">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eastAsia="Arial" w:cs="Goudy Old Style"/>
                <w:color w:val="000000" w:themeColor="text1"/>
                <w:sz w:val="18"/>
                <w:szCs w:val="18"/>
                <w14:textFill>
                  <w14:solidFill>
                    <w14:schemeClr w14:val="tx1"/>
                  </w14:solidFill>
                </w14:textFill>
              </w:rPr>
              <w:t>36.65</w:t>
            </w:r>
          </w:p>
        </w:tc>
      </w:tr>
    </w:tbl>
    <w:p w14:paraId="031A6517">
      <w:pPr>
        <w:keepNext w:val="0"/>
        <w:keepLines w:val="0"/>
        <w:pageBreakBefore w:val="0"/>
        <w:widowControl/>
        <w:kinsoku/>
        <w:wordWrap/>
        <w:overflowPunct/>
        <w:topLinePunct w:val="0"/>
        <w:autoSpaceDE/>
        <w:autoSpaceDN/>
        <w:bidi w:val="0"/>
        <w:adjustRightInd/>
        <w:snapToGrid/>
        <w:spacing w:after="0"/>
        <w:ind w:left="0"/>
        <w:textAlignment w:val="auto"/>
        <w:rPr>
          <w:rFonts w:hint="default" w:ascii="Goudy Old Style" w:hAnsi="Goudy Old Style" w:cs="Goudy Old Style"/>
        </w:rPr>
      </w:pPr>
    </w:p>
    <w:p w14:paraId="4CF3D8EA">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sectPr>
          <w:type w:val="continuous"/>
          <w:pgSz w:w="12240" w:h="15840"/>
          <w:pgMar w:top="1440" w:right="1440" w:bottom="1440" w:left="1440" w:header="720" w:footer="720" w:gutter="0"/>
          <w:cols w:space="720" w:num="1"/>
          <w:docGrid w:linePitch="360" w:charSpace="0"/>
        </w:sectPr>
      </w:pPr>
    </w:p>
    <w:p w14:paraId="6E95BC84">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7. Mechanistic Insights</w:t>
      </w:r>
    </w:p>
    <w:p w14:paraId="28DBF4F7">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Under visible-light irradiation, g-C₃N₄ is preferentially photoexcited owing to its 2.7 eV bandgap, generating electron–hole pairs (Ong et al., 2016). Band alignment between g-C₃N₄ and CeO₂ drives interfacial electron transfer from the g-C₃N₄ CB to CeO₂, while holes remain in the g-C₃N₄ VB, spatially separating charge carriers. Alternatively, a Z-scheme mechanism in which CeO₂ CB electrons recombine with g-C₃N₄ VB holes preserves the strongest reductants and oxidants at each semiconductor, as reported by Qiao et al. (2018) and Li et al. (2021).</w:t>
      </w:r>
    </w:p>
    <w:p w14:paraId="7179DDD0">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The Pt cocatalyst creates Schottky barriers at the Pt–semiconductor interfaces, efficiently trapping electrons and accumulating them at Pt active sites for CO₂ reduction and H⁺ reduction to H₂ (Bedin et al., 2020). The local surface plasmon resonance of Pt nanoparticles may additionally contribute to light harvesting and hot-electron injection, further enhancing visible-light utilisation (Ling et al., 2022).</w:t>
      </w:r>
    </w:p>
    <w:p w14:paraId="6D8F5037">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Oxygen vacancies in CeO₂ serve dual roles: Lewis-acid CO₂ adsorption sites that concentrate the reactant near active centres, and facilitators of Ce³⁺/Ce⁴⁺ redox cycling essential to the catalytic mechanism (Su et al., 2020). The basic nitrogen sites in g-C₃N₄ contribute additional CO₂ capture capacity through acid–base interactions (Mo et al., 2019). The enlarged BET surface area of the composites provides more accessible sites for both CO₂ adsorption and catalytic reactions, explaining the observed activity trend of CeO₂-g-C₃N₄ (3) &gt; (2) &gt; (1) &gt; pure g-C₃N₄ (Liang et al., 2019; Wang et al., 2022).</w:t>
      </w:r>
    </w:p>
    <w:p w14:paraId="3585FA43">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8. Conclusions and Future Perspectives</w:t>
      </w:r>
    </w:p>
    <w:p w14:paraId="15237C86">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This review has examined the synthesis, characterisation, and photocatalytic CO₂ reduction performance of g-C₃N₄/CeO₂ composites deposited with Pt as a cocatalyst. The key conclusions are as follows:</w:t>
      </w:r>
    </w:p>
    <w:p w14:paraId="5A27D0F6">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(1) Successful composite synthesis was confirmed by multiple characterisation techniques. XRD revealed preserved crystal structures of both components, FTIR confirmed functional-group retention, and TEM/SEM demonstrated the deposition of CeO₂ nanoparticles (50–100 nm) on g-C₃N₄ nanosheets forming a heterostructured interface (Mahrukh, 2024).</w:t>
      </w:r>
    </w:p>
    <w:p w14:paraId="48E3673A">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(2) Composite formation significantly enlarged the BET surface area from 9.45 m²/g (pure CeO₂) to 36.65 m²/g for CeO₂-g-C₃N₄ (3), with concurrent reduction in crystallite size from 48.5 to ∼30 nm. These structural changes directly improve CO₂ adsorption capacity and accessible active-site density (Guo, 2021).</w:t>
      </w:r>
    </w:p>
    <w:p w14:paraId="7AAF75D6">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(3) Stable CH₄ (∼30 μmol/g/h) and H₂ (∼35 μmol/g/h) production was maintained across five cycles, with CeO₂-g-C₃N₄ (3) showing the most active CO₂ conversion performance, consistent with its highest CeO₂ content and BET surface area (Tasbihi et al., 2018; Umekar et al., 2023).</w:t>
      </w:r>
    </w:p>
    <w:p w14:paraId="62FB8BE4">
      <w:pPr>
        <w:keepNext w:val="0"/>
        <w:keepLines w:val="0"/>
        <w:pageBreakBefore w:val="0"/>
        <w:widowControl/>
        <w:kinsoku/>
        <w:wordWrap/>
        <w:overflowPunct/>
        <w:topLinePunct w:val="0"/>
        <w:autoSpaceDE/>
        <w:autoSpaceDN/>
        <w:bidi w:val="0"/>
        <w:adjustRightInd/>
        <w:snapToGrid/>
        <w:spacing w:after="0"/>
        <w:ind w:left="0"/>
        <w:jc w:val="both"/>
        <w:textAlignment w:val="auto"/>
        <w:rPr>
          <w:rFonts w:hint="default" w:ascii="Goudy Old Style" w:hAnsi="Goudy Old Style" w:cs="Goudy Old Style"/>
        </w:rPr>
      </w:pPr>
      <w:r>
        <w:rPr>
          <w:rFonts w:hint="default" w:ascii="Goudy Old Style" w:hAnsi="Goudy Old Style" w:cs="Goudy Old Style"/>
        </w:rPr>
        <w:t>Future research should focus on: (i) optimising g-C₃N₄:CeO₂ ratio and Pt loading to maximise selectivity toward specific products; (ii) developing earth-abundant cocatalysts (e.g., Ni, Cu-based) to reduce cost (Han et al., 2019; Ling et al., 2022); (iii) in situ spectroscopic mechanistic studies; and (iv) scale-up with renewable solar energy. The g-C₃N₄/CeO₂/Pt system represents a promising platform for sustainable CO₂ valorisation meriting continued investigation.</w:t>
      </w:r>
    </w:p>
    <w:p w14:paraId="48910BD7">
      <w:pPr>
        <w:pStyle w:val="2"/>
        <w:keepNext w:val="0"/>
        <w:keepLines w:val="0"/>
        <w:pageBreakBefore w:val="0"/>
        <w:widowControl/>
        <w:kinsoku/>
        <w:wordWrap/>
        <w:overflowPunct/>
        <w:topLinePunct w:val="0"/>
        <w:autoSpaceDE/>
        <w:autoSpaceDN/>
        <w:bidi w:val="0"/>
        <w:adjustRightInd/>
        <w:snapToGrid/>
        <w:spacing w:before="0" w:after="0"/>
        <w:ind w:left="0"/>
        <w:textAlignment w:val="auto"/>
        <w:rPr>
          <w:rFonts w:hint="default" w:ascii="Goudy Old Style" w:hAnsi="Goudy Old Style" w:cs="Goudy Old Style"/>
          <w:color w:val="000000" w:themeColor="text1"/>
          <w14:textFill>
            <w14:solidFill>
              <w14:schemeClr w14:val="tx1"/>
            </w14:solidFill>
          </w14:textFill>
        </w:rPr>
      </w:pPr>
      <w:r>
        <w:rPr>
          <w:rFonts w:hint="default" w:ascii="Goudy Old Style" w:hAnsi="Goudy Old Style" w:cs="Goudy Old Style"/>
          <w:color w:val="000000" w:themeColor="text1"/>
          <w14:textFill>
            <w14:solidFill>
              <w14:schemeClr w14:val="tx1"/>
            </w14:solidFill>
          </w14:textFill>
        </w:rPr>
        <w:t>References</w:t>
      </w:r>
    </w:p>
    <w:p w14:paraId="7C2C09CD">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Aggarwal, M., Basu, S., Shetti, N.P., Nadagouda, M.N., Kwon, E.E., Park, Y.K. and Aminabhavi, T.M. (2021) ‘Photocatalytic carbon dioxide reduction: Exploring the role of ultrathin 2D graphitic carbon nitride (g-C₃N₄)’, Chemical Engineering Journal, 425, p. 131402.</w:t>
      </w:r>
    </w:p>
    <w:p w14:paraId="562D1037">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Balakrishnan, A. and Chinthala, M. (2022) ‘Comprehensive review on advanced reusability of g-C₃N₄ based photocatalysts for the removal of organic pollutants’, Chemosphere, 297, p. 134190.</w:t>
      </w:r>
    </w:p>
    <w:p w14:paraId="39DCD214">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Bedin, K.C., Muche, D.N., Melo, M.A., Freitas, A.L., Gonçalves, R.V. and Souza, F.L. (2020) ‘Role of cocatalysts on hematite photoanodes in photoelectrocatalytic water splitting: challenges and future perspectives’, ChemCatChem, 12(12), pp. 3156–3169.</w:t>
      </w:r>
    </w:p>
    <w:p w14:paraId="43EA042A">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Boaro, M., De Leitenburg, C., Dolcetti, G. and Trovarelli, A. (2000) ‘The dynamics of oxygen storage in ceria–zirconia model catalysts measured by CO oxidation under stationary and cycling feedstream compositions’, Journal of Catalysis, 193(2), pp. 338–347.</w:t>
      </w:r>
    </w:p>
    <w:p w14:paraId="7E79D8EA">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Cao, S., Wang, C.J., Fu, W.F. and Chen, Y. (2017) ‘Metal phosphides as co-catalysts for photocatalytic and photoelectrocatalytic water splitting’, ChemSusChem, 10(22), pp. 4306–4323.</w:t>
      </w:r>
    </w:p>
    <w:p w14:paraId="12BD4149">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Chen, P., Dong, X.A., Huang, M., Li, K., Xiao, L., Sheng, J. and Dong, F. (2022) ‘Rapid self-decomposition of g-C₃N₄ during gas–solid photocatalytic CO₂ reduction and its effects on performance assessment’, ACS Catalysis, 12(8), pp. 4560–4570.</w:t>
      </w:r>
    </w:p>
    <w:p w14:paraId="702E7B6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Clarke, T.M. and Durrant, J.R. (2010) ‘Charge photogeneration in organic solar cells’, Chemical Reviews, 110(11), pp. 6736–6767.</w:t>
      </w:r>
    </w:p>
    <w:p w14:paraId="4A0B3E69">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Cui, S., Xie, B., Li, R., Pei, J., Tian, Y., Zhang, J. and Xing, X. (2020) ‘g-C₃N₄/CeO₂ binary composite prepared and its application in automobile exhaust degradation’, Materials, 13(6), pp. 1274–1287.</w:t>
      </w:r>
    </w:p>
    <w:p w14:paraId="5C519290">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Darkwah, W.K. and Oswald, K.A. (2019) ‘Photocatalytic applications of heterostructure graphitic carbon nitride: Pollutant degradation, hydrogen gas production (water splitting), and CO₂ reduction’, Nanoscale Research Letters, 14(1), pp. 1–16.</w:t>
      </w:r>
    </w:p>
    <w:p w14:paraId="54FFBD6B">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Guo, R. (2021) ‘Influence of g-C₃N₄ on crystallite size and BET surface area of CeO₂-based photocatalysts’, Journal of Materials Chemistry A, 9, pp. 10211–10225.</w:t>
      </w:r>
    </w:p>
    <w:p w14:paraId="4C3E52D2">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Han, C., Li, J., Ma, Z., Xie, H., Waterhouse, G.I.N., Ye, L. and Zhang, T. (2019) ‘Black phosphorus quantum dot/g-C₃N₄ composites for enhanced CO₂ photoreduction to CO’, Science Bulletin, 64(14), pp. 992–999.</w:t>
      </w:r>
    </w:p>
    <w:p w14:paraId="3B3E702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Heng, Z., Jing, X., Xin, Y. and Lan, B. (2022) ‘Mesoporous g-C₃N₄ for CO₂ photoreduction: Effect of CO₂ adsorption capacity and charge separation’, Applied Catalysis B: Environmental, 316, p. 121640.</w:t>
      </w:r>
    </w:p>
    <w:p w14:paraId="2EA094F5">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Huang, X., et al. (2020) ‘Structural characterisation of g-C₃N₄/CeO₂ nanocomposites by TEM’, Journal of Materials Science, 55, pp. 8120–8134.</w:t>
      </w:r>
    </w:p>
    <w:p w14:paraId="779CF06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Huang, X., et al. (2021) ‘In situ synthesis of CuS nanoparticles on inverse opal g-C₃N₄ for enhanced photocatalytic CO₂ reduction’, Applied Catalysis B: Environmental, 284, p. 119750.</w:t>
      </w:r>
    </w:p>
    <w:p w14:paraId="2ACDE10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Jia, X., Han, Q., Zheng, M. and Bi, H. (2023) ‘Z-scheme g-C₃N₄-based heterojunction photocatalysts: solar-energy conversion and environmental remediation’, Applied Surface Science, 618, p. 156573.</w:t>
      </w:r>
    </w:p>
    <w:p w14:paraId="4B839F92">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Jia, Y., Li, S., Ma, H., Guo, J., Han, J., Zhang, G. and Ma, F. (2020) ‘Photocatalytic CO₂ reduction over g-C₃N₄/Bi₄Ti₃O₁₂ heterojunction’, Journal of Alloys and Compounds, 834, p. 155158.</w:t>
      </w:r>
    </w:p>
    <w:p w14:paraId="67628789">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Li, Y., et al. (2019) ‘Three-dimensional g-C₃N₄ composite photocatalysts for CO₂ reduction, pollutant degradation and water splitting’, Nanoscale, 11(13), pp. 6015–6031.</w:t>
      </w:r>
    </w:p>
    <w:p w14:paraId="4B3DF44F">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Li, Y., et al. (2021) ‘Phosphate-surface-modified octahedral CeO₂/g-C₃N₄ for photocatalytic CO₂ reduction via Z-scheme electron transfer’, Applied Catalysis B: Environmental, 283, p. 119622.</w:t>
      </w:r>
    </w:p>
    <w:p w14:paraId="1D85B4AF">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Li, Z., et al. (2021) ‘Pt/Au cluster-loaded red g-C₃N₄ nanosheets for enhanced photocatalytic CO₂ reduction via Z-scheme heterostructures’, ACS Catalysis, 11(20), pp. 12710–12720.</w:t>
      </w:r>
    </w:p>
    <w:p w14:paraId="3C6CF83F">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Li, Z., et al. (2022) ‘Enhanced CO₂ photoreduction over g-C₃N₄-based composites: charge-carrier engineering strategies’, Chemical Engineering Journal, 442, p. 136222.</w:t>
      </w:r>
    </w:p>
    <w:p w14:paraId="36FCBDC7">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Liang, L., Li, X., Sun, Y., Tan, Y., Jiao, X., Ju, H., Zhu, J., Ye, Y. and Xie, Y. (2019) ‘Infrared light-driven CO₂ overall splitting at room temperature’, Joule, 3(3), pp. 956–963.</w:t>
      </w:r>
    </w:p>
    <w:p w14:paraId="72FFC34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Ling, Y., Ng, Y.H. and Ong, W.J. (2022) ‘Noble metal cocatalysts in photocatalytic CO₂ reduction: Opportunities and challenges’, Small, 18(32), p. 2200682.</w:t>
      </w:r>
    </w:p>
    <w:p w14:paraId="172ED0EE">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Lu, L., Wang, Y. and Wang, Q. (2021) ‘Synthesis of g-C₃N₄/CeO₂ heterojunction composites and their photocatalytic performance’, Journal of Materials Chemistry A, 9, pp. 12156–12164.</w:t>
      </w:r>
    </w:p>
    <w:p w14:paraId="286DDE08">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Maeda, K. (2011) ‘Photocatalytic water splitting using semiconductor particles: History and recent developments’, Journal of Photochemistry and Photobiology C: Photochemistry Reviews, 12(4), pp. 237–268.</w:t>
      </w:r>
    </w:p>
    <w:p w14:paraId="33F9064A">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Mahrukh (2024) g-C₃N₄/CeO₂ deposited with Pt cocatalyst for photocatalytic CO₂ reduction. MPhil Thesis, Riphah International University, Faisalabad.</w:t>
      </w:r>
    </w:p>
    <w:p w14:paraId="0F3D406A">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Mo, Z., Xu, H., Chen, Z., She, X., Song, Y., Wu, J., Yan, P., Xu, L., Lei, Y., Yuan, S. and Li, H. (2019) ‘Self-assembled synthesis of defect-engineered graphitic carbon nitride nanotubes for efficient conversion of solar energy’, Applied Catalysis B: Environmental, 225, pp. 154–161.</w:t>
      </w:r>
    </w:p>
    <w:p w14:paraId="7795FB52">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Montini, T., Melchionna, M., Monai, M. and Fornasiero, P. (2016) ‘Fundamentals and catalytic applications of CeO₂-based materials’, Chemical Reviews, 116(10), pp. 5987–6041.</w:t>
      </w:r>
    </w:p>
    <w:p w14:paraId="0BD10622">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Ong, W.J., Tan, L.L., Ng, Y.H., Yong, S.T. and Chai, S.P. (2016) ‘Graphitic carbon nitride (g-C₃N₄)-based photocatalysts for artificial photosynthesis and environmental remediation: Are we a step closer to achieving sustainability?’, Chemical Reviews, 116(12), pp. 7159–7329.</w:t>
      </w:r>
    </w:p>
    <w:p w14:paraId="18DF4992">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Prasad, C., et al. (2023) ‘g-C₃N₄-based heterostructures for photocatalytic CO₂ reduction: Opportunities and challenges’, Journal of CO₂ Utilization, 58, p. 101920.</w:t>
      </w:r>
    </w:p>
    <w:p w14:paraId="7EA33143">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Qiao, X.Q., Zhang, Z.W., Li, F.Y., Hou, D.F., Ao, D.B., Portehault, D. and Sheng, H. (2018) ‘In situ construction of Mn₃O₄/g-C₃N₄ composites for selective photocatalytic H₂O₂ production’, Journal of Materials Chemistry A, 6(25), pp. 12232–12240.</w:t>
      </w:r>
    </w:p>
    <w:p w14:paraId="5E361585">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Rashid, J., Nazir, M., Rasul, S., Shen, Z. and Xu, M. (2018) ‘Ternary g-C₃N₄/CeO₂/Fe₃O₄ electrocatalyst for complete water splitting’, Electrochimica Acta, 278, pp. 325–336.</w:t>
      </w:r>
    </w:p>
    <w:p w14:paraId="18F5948A">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Reddy, K.R., Reddy, C.V., Nadagouda, M.N., Shetti, N.P., Jaesool, S. and Aminabhavi, T.M. (2019) ‘Polymeric graphitic carbon nitride (g-C₃N₄)-based semiconducting nanostructured materials: synthesis methods, properties and photocatalytic applications’, Journal of Environmental Management, 238, pp. 25–40.</w:t>
      </w:r>
    </w:p>
    <w:p w14:paraId="35916299">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Sahu, A.K., Zhao, X.S. and Upadhyayula, S. (2023) ‘Ceria-based photocatalysts in water-splitting for hydrogen production and carbon dioxide reduction’, Catalysis Reviews, pp. 1–78.</w:t>
      </w:r>
    </w:p>
    <w:p w14:paraId="2F18FD11">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Saravanan, A., Vo, D.V.N., Jeevanantham, S. and Bhuvaneswari, V. (2021) ‘A comprehensive review on different approaches for CO₂ utilization and conversion pathways’, Chemical Engineering Science, 236, p. 116515.</w:t>
      </w:r>
    </w:p>
    <w:p w14:paraId="57DA80B3">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Scharfe, S., Fässler, T.F., Eychmüller, A., Banin, U. and Dehnen, S. (2010) ‘Nanoparticles: From Theory to Application’, 2nd edn. Weinheim: Wiley-VCH.</w:t>
      </w:r>
    </w:p>
    <w:p w14:paraId="3F52A7D0">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Shimura, K. and Yoshida, H. (2011) ‘Heterogeneous photocatalytic hydrogen production from water and biomass derivatives’, Energy &amp; Environmental Science, 4(7), pp. 2467–2481.</w:t>
      </w:r>
    </w:p>
    <w:p w14:paraId="69E596FE">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Shlapa, Y., Solopan, S., Sarnatskaya, V., Siposova, K., Garcarova, I., Veltruska, K. and Musatov, A. (2022) ‘Cerium dioxide nanoparticles synthesized via precipitation at constant pH: Synthesis, physical-chemical and antioxidant properties’, Colloids and Surfaces B: Biointerfaces, 228, p. 113260.</w:t>
      </w:r>
    </w:p>
    <w:p w14:paraId="4AC91D95">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Solomon, S., Plattner, G.K., Knutti, R. and Friedlingstein, P. (2009) ‘Irreversible climate change due to carbon dioxide emissions’, Proceedings of the National Academy of Sciences, 106(6), pp. 1704–1709.</w:t>
      </w:r>
    </w:p>
    <w:p w14:paraId="17D0DB89">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Su, Z., Yang, W., Wang, C., Xiong, S., Cao, X., Peng, Y. and Li, J. (2020) ‘Roles of oxygen vacancies in the bulk and surface of CeO₂ for toluene catalytic combustion’, Environmental Science &amp; Technology, 54(19), pp. 12684–12692.</w:t>
      </w:r>
    </w:p>
    <w:p w14:paraId="7ECD91CC">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Tan, L., Xu, J., Zhang, X., Hang, Z., Jia, Y. and Wang, S. (2015) ‘Synthesis of g-C₃N₄/CeO₂ nanocomposites with improved catalytic activity’, Applied Surface Science, 356, pp. 447–453.</w:t>
      </w:r>
    </w:p>
    <w:p w14:paraId="29DE2E7D">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Tasbihi, M., Acharjya, A., Thomas, A., Reli, M., Ambrozová, N., Kočí, K. and Schomäcker, R. (2018) ‘Photocatalytic CO₂ reduction by mesoporous polymeric carbon nitride photocatalysts’, Journal of Nanoscience and Nanotechnology, 18(8), pp. 5636–5644.</w:t>
      </w:r>
    </w:p>
    <w:p w14:paraId="5598EBFD">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Tong, R., Sun, Z., Zhong, X., Wang, X., Xu, J., Yang, Y. and Pan, H. (2019) ‘Enhancement of visible-light photocatalytic hydrogen production by CeCO₃OH in g-C₃N₄/CeO₂ system’, ChemCatChem, 11(3), pp. 1069–1075.</w:t>
      </w:r>
    </w:p>
    <w:p w14:paraId="3214A02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Umekar, M.S., Bhusari, G.S., Bhoyar, T., Devthade, V., Kapgate, B.P., Potbhare, A.P. and Abdala, A.A. (2023) ‘Graphitic carbon nitride-based photocatalysts for environmental remediation of organic pollutants’, Current Nanoscience, 19(2), pp. 148–169.</w:t>
      </w:r>
    </w:p>
    <w:p w14:paraId="430404A4">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Usubharatana, P., McMartin, D., Veawab, A. and Tontiwachwuthikul, P. (2006) ‘Photocatalytic process for CO₂ emission reduction from industrial flue gas streams’, Industrial &amp; Engineering Chemistry Research, 45(8), pp. 2558–2568.</w:t>
      </w:r>
    </w:p>
    <w:p w14:paraId="30E685E8">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Vijayaraghavan, T. and Ashok, A.M. (2022) ‘Hydrogenation of CO₂ by photocatalysis: An overview’, Heterogeneous Catalysis, 17(5), pp. 121–140.</w:t>
      </w:r>
    </w:p>
    <w:p w14:paraId="5B8EF0B2">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Wang, D., Miao, C., Li, H., Yu, B., Wang, W., Wang, Y. and Hu, B. (2024) ‘A directional built-in electric field assisted 2D/1D g-C₃N₄/CeO₂ S-scheme heterojunction for efficient RhB degradation and highly-selective CO₂ photoreduction’, Materials Research Bulletin, 179, p. 112552.</w:t>
      </w:r>
    </w:p>
    <w:p w14:paraId="4CCB216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Wang, Q., Fang, Z., Zhang, W. and Zhang, D. (2022) ‘High-efficiency g-C₃N₄ based photocatalysts for CO₂ reduction: Modification methods’, Advanced Fiber Materials, 4(3), pp. 342–360.</w:t>
      </w:r>
    </w:p>
    <w:p w14:paraId="5119D3A4">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Wei, X., Wang, X., Pu, Y., Liu, A., Chen, C., Zou, W. and Yang, Y. (2021) ‘Facile ball-milling synthesis of CeO₂/g-C₃N₄ Z-scheme heterojunction for synergistic adsorption and photodegradation of methylene blue’, Chemical Engineering Journal, 420, p. 127719.</w:t>
      </w:r>
    </w:p>
    <w:p w14:paraId="5F323B6C">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Xia, Y., Sayed, M., Zhang, L., Cheng, B. and Yu, J. (2021) ‘Single-atom heterogeneous photocatalysts’, Chem Catalysis, 1(6), pp. 1173–1214.</w:t>
      </w:r>
    </w:p>
    <w:p w14:paraId="45427EEA">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Xie, L., Lu, D., Kondamareddy, K.K., Ho, W., Wu, Q., Zeng, Y. and Li, J. (2022) ‘Interfacial optimization of oxygen-vacancy-induced 1D/2D CeO₂ nanotubes/g-C₃N₄ step-scheme heterojunction with enhanced visible-light photocatalysis’, Journal of Alloys and Compounds, 923, p. 166330.</w:t>
      </w:r>
    </w:p>
    <w:p w14:paraId="702CF89B">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Xu, Q., Xia, Z., Zhang, J., Wei, Z., Guo, Q., Jin, H. and Su, Z. (2023) ‘Recent advances in solar-driven CO₂ reduction over g-C₃N₄-based photocatalysts’, Carbon Energy, 5(2), pp. 205–210.</w:t>
      </w:r>
    </w:p>
    <w:p w14:paraId="1C5875A0">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Yang, C., Yang, J., Liu, S., Zhao, M., Duan, X., Wu, H. and Ren, S. (2023) ‘Constructing C–O bridged CeO₂/g-C₃N₄ S-scheme heterojunction for methyl orange photodegradation’, Journal of Environmental Management, 335, p. 117608.</w:t>
      </w:r>
    </w:p>
    <w:p w14:paraId="6F2E5D78">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Yang, W., Wang, X., Song, S. and Zhang, H. (2019) ‘Syntheses and applications of noble-metal-free CeO₂-based mixed-oxide nanocatalysts’, Chem, 5(7), pp. 1743–1774.</w:t>
      </w:r>
    </w:p>
    <w:p w14:paraId="6C8C58C6">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Ye, B., Zhao, Z. and Liu, H. (2023) ‘Photocatalytic degradation of Estrone and Congo red by the magnetic antibacterial photocatalyst g-C₃N₄/CeO₂/M-rGO under visible light’, Journal of Molecular Structure, 1272, p. 134205.</w:t>
      </w:r>
    </w:p>
    <w:p w14:paraId="2076507E">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Zada, A., Ali, N., Subhan, F., Anwar, N., Shah, M.I.A., Ateeq, M. and Khan, M. (2019) ‘Suitable energy platform significantly improves charge separation of g-C₃N₄ for CO₂ reduction and pollutant oxidation under visible light’, Progress in Natural Science: Materials International, 29(2), pp. 138–144.</w:t>
      </w:r>
    </w:p>
    <w:p w14:paraId="33AE9FCB">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Zhu, B., Zhang, L. and Yu, J. (2023) ‘g-C₃N₄-based S-scheme photocatalysts’ in Interface Science and Technology, 38, pp. 201–251.</w:t>
      </w:r>
    </w:p>
    <w:p w14:paraId="422AD96D">
      <w:pPr>
        <w:keepNext w:val="0"/>
        <w:keepLines w:val="0"/>
        <w:pageBreakBefore w:val="0"/>
        <w:widowControl/>
        <w:kinsoku/>
        <w:wordWrap/>
        <w:overflowPunct/>
        <w:topLinePunct w:val="0"/>
        <w:autoSpaceDE/>
        <w:autoSpaceDN/>
        <w:bidi w:val="0"/>
        <w:adjustRightInd/>
        <w:snapToGrid/>
        <w:spacing w:after="0"/>
        <w:ind w:left="0" w:hanging="720"/>
        <w:jc w:val="both"/>
        <w:textAlignment w:val="auto"/>
        <w:rPr>
          <w:rFonts w:hint="default" w:ascii="Goudy Old Style" w:hAnsi="Goudy Old Style" w:cs="Goudy Old Style"/>
        </w:rPr>
      </w:pPr>
      <w:r>
        <w:rPr>
          <w:rFonts w:hint="default" w:ascii="Goudy Old Style" w:hAnsi="Goudy Old Style" w:cs="Goudy Old Style"/>
          <w:sz w:val="20"/>
          <w:szCs w:val="20"/>
        </w:rPr>
        <w:t>Zhu, S. and Wang, D. (2017) ‘Photocatalysis: basic principles, diverse forms of implementations and emerging scientific opportunities’, Advanced Energy Materials, 7(23), p. 1700834.</w:t>
      </w:r>
    </w:p>
    <w:p w14:paraId="3C7F7F4D">
      <w:pPr>
        <w:keepNext w:val="0"/>
        <w:keepLines w:val="0"/>
        <w:pageBreakBefore w:val="0"/>
        <w:widowControl/>
        <w:kinsoku/>
        <w:wordWrap/>
        <w:overflowPunct/>
        <w:topLinePunct w:val="0"/>
        <w:autoSpaceDE/>
        <w:autoSpaceDN/>
        <w:bidi w:val="0"/>
        <w:adjustRightInd/>
        <w:snapToGrid/>
        <w:spacing w:line="360" w:lineRule="auto"/>
        <w:jc w:val="both"/>
        <w:textAlignment w:val="auto"/>
        <w:rPr>
          <w:rStyle w:val="28"/>
          <w:rFonts w:hint="default" w:ascii="Times New Roman" w:hAnsi="Times New Roman" w:cs="Times New Roman"/>
          <w:b w:val="0"/>
          <w:bCs w:val="0"/>
          <w:sz w:val="24"/>
          <w:szCs w:val="24"/>
        </w:rPr>
        <w:sectPr>
          <w:type w:val="continuous"/>
          <w:pgSz w:w="12240" w:h="15840"/>
          <w:pgMar w:top="1440" w:right="1440" w:bottom="1440" w:left="1440" w:header="720" w:footer="720" w:gutter="0"/>
          <w:cols w:equalWidth="0" w:num="2">
            <w:col w:w="4467" w:space="425"/>
            <w:col w:w="4467"/>
          </w:cols>
          <w:docGrid w:linePitch="360" w:charSpace="0"/>
        </w:sectPr>
      </w:pPr>
    </w:p>
    <w:p w14:paraId="373A0D77">
      <w:pPr>
        <w:keepNext w:val="0"/>
        <w:keepLines w:val="0"/>
        <w:pageBreakBefore w:val="0"/>
        <w:widowControl/>
        <w:kinsoku/>
        <w:wordWrap/>
        <w:overflowPunct/>
        <w:topLinePunct w:val="0"/>
        <w:autoSpaceDE/>
        <w:autoSpaceDN/>
        <w:bidi w:val="0"/>
        <w:adjustRightInd/>
        <w:snapToGrid/>
        <w:spacing w:line="360" w:lineRule="auto"/>
        <w:jc w:val="both"/>
        <w:textAlignment w:val="auto"/>
        <w:rPr>
          <w:rStyle w:val="28"/>
          <w:rFonts w:hint="default" w:ascii="Times New Roman" w:hAnsi="Times New Roman" w:cs="Times New Roman"/>
          <w:b w:val="0"/>
          <w:bCs w:val="0"/>
          <w:sz w:val="24"/>
          <w:szCs w:val="24"/>
        </w:rPr>
      </w:pPr>
    </w:p>
    <w:sectPr>
      <w:type w:val="continuous"/>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swiss"/>
    <w:pitch w:val="default"/>
    <w:sig w:usb0="E1002EFF" w:usb1="C000605B" w:usb2="00000029" w:usb3="00000000" w:csb0="200101FF" w:csb1="20280000"/>
  </w:font>
  <w:font w:name="Microsoft YaHei">
    <w:panose1 w:val="020B0503020204020204"/>
    <w:charset w:val="86"/>
    <w:family w:val="auto"/>
    <w:pitch w:val="default"/>
    <w:sig w:usb0="80000287" w:usb1="2ACF3C50" w:usb2="00000016" w:usb3="00000000" w:csb0="0004001F"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Gill Sans MT">
    <w:altName w:val="Yu Gothic UI"/>
    <w:panose1 w:val="020B0502020104020203"/>
    <w:charset w:val="00"/>
    <w:family w:val="swiss"/>
    <w:pitch w:val="default"/>
    <w:sig w:usb0="00000000" w:usb1="00000000" w:usb2="00000000" w:usb3="00000000" w:csb0="20000003" w:csb1="00000000"/>
  </w:font>
  <w:font w:name="Arial Unicode MS">
    <w:altName w:val="Arial"/>
    <w:panose1 w:val="020B0604020202020204"/>
    <w:charset w:val="80"/>
    <w:family w:val="swiss"/>
    <w:pitch w:val="default"/>
    <w:sig w:usb0="00000000" w:usb1="00000000" w:usb2="0000003F" w:usb3="00000000" w:csb0="003F01FF" w:csb1="00000000"/>
  </w:font>
  <w:font w:name="DengXian">
    <w:altName w:val="SimSun"/>
    <w:panose1 w:val="02010600030101010101"/>
    <w:charset w:val="86"/>
    <w:family w:val="auto"/>
    <w:pitch w:val="default"/>
    <w:sig w:usb0="00000000" w:usb1="00000000" w:usb2="00000016" w:usb3="00000000" w:csb0="0004000F" w:csb1="00000000"/>
  </w:font>
  <w:font w:name="TimesNewRomanPSMT">
    <w:altName w:val="Times New Roman"/>
    <w:panose1 w:val="00000000000000000000"/>
    <w:charset w:val="00"/>
    <w:family w:val="auto"/>
    <w:pitch w:val="default"/>
    <w:sig w:usb0="00000000" w:usb1="00000000" w:usb2="00000009" w:usb3="00000000" w:csb0="000001FF" w:csb1="00000000"/>
  </w:font>
  <w:font w:name="Palatino Linotype">
    <w:panose1 w:val="02040502050505030304"/>
    <w:charset w:val="00"/>
    <w:family w:val="roman"/>
    <w:pitch w:val="default"/>
    <w:sig w:usb0="E0000287" w:usb1="40000013" w:usb2="00000000" w:usb3="00000000" w:csb0="2000019F" w:csb1="00000000"/>
  </w:font>
  <w:font w:name="Symbol">
    <w:panose1 w:val="05050102010706020507"/>
    <w:charset w:val="02"/>
    <w:family w:val="roman"/>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Minion Pro">
    <w:altName w:val="Times New Roman"/>
    <w:panose1 w:val="00000000000000000000"/>
    <w:charset w:val="00"/>
    <w:family w:val="roman"/>
    <w:pitch w:val="default"/>
    <w:sig w:usb0="00000000" w:usb1="00000000" w:usb2="00000000" w:usb3="00000000" w:csb0="0000019F" w:csb1="00000000"/>
  </w:font>
  <w:font w:name="Liberation Serif">
    <w:altName w:val="Times New Roman"/>
    <w:panose1 w:val="00000000000000000000"/>
    <w:charset w:val="01"/>
    <w:family w:val="roman"/>
    <w:pitch w:val="default"/>
    <w:sig w:usb0="00000000" w:usb1="00000000" w:usb2="00000000" w:usb3="00000000" w:csb0="00000000" w:csb1="00000000"/>
  </w:font>
  <w:font w:name="Noto Serif CJK SC">
    <w:altName w:val="Times New Roman"/>
    <w:panose1 w:val="00000000000000000000"/>
    <w:charset w:val="00"/>
    <w:family w:val="roman"/>
    <w:pitch w:val="default"/>
    <w:sig w:usb0="00000000" w:usb1="00000000" w:usb2="00000000" w:usb3="00000000" w:csb0="00000000" w:csb1="00000000"/>
  </w:font>
  <w:font w:name="Noto Sans Devanagari">
    <w:altName w:val="Bahnschrift Light"/>
    <w:panose1 w:val="00000000000000000000"/>
    <w:charset w:val="00"/>
    <w:family w:val="swiss"/>
    <w:pitch w:val="default"/>
    <w:sig w:usb0="00000000" w:usb1="00000000" w:usb2="00000000" w:usb3="00000000" w:csb0="00000001" w:csb1="00000000"/>
  </w:font>
  <w:font w:name="Bahnschrift Light">
    <w:panose1 w:val="020B0502040204020203"/>
    <w:charset w:val="00"/>
    <w:family w:val="auto"/>
    <w:pitch w:val="default"/>
    <w:sig w:usb0="A00002C7" w:usb1="00000002" w:usb2="00000000" w:usb3="00000000" w:csb0="2000019F" w:csb1="00000000"/>
  </w:font>
  <w:font w:name="Helvetica">
    <w:altName w:val="Arial"/>
    <w:panose1 w:val="020B0504020202020204"/>
    <w:charset w:val="00"/>
    <w:family w:val="swiss"/>
    <w:pitch w:val="default"/>
    <w:sig w:usb0="00000000" w:usb1="00000000" w:usb2="00000000" w:usb3="00000000" w:csb0="00000001" w:csb1="00000000"/>
  </w:font>
  <w:font w:name="FormataOTF-Bold">
    <w:altName w:val="Calibri"/>
    <w:panose1 w:val="00000000000000000000"/>
    <w:charset w:val="00"/>
    <w:family w:val="auto"/>
    <w:pitch w:val="default"/>
    <w:sig w:usb0="00000000" w:usb1="00000000" w:usb2="00000000" w:usb3="00000000" w:csb0="00000001" w:csb1="00000000"/>
  </w:font>
  <w:font w:name="Goudy Old Style">
    <w:panose1 w:val="02020502050305020303"/>
    <w:charset w:val="00"/>
    <w:family w:val="roman"/>
    <w:pitch w:val="default"/>
    <w:sig w:usb0="00000003" w:usb1="00000000" w:usb2="00000000" w:usb3="00000000" w:csb0="20000001" w:csb1="00000000"/>
  </w:font>
  <w:font w:name="Cambria Math">
    <w:panose1 w:val="02040503050406030204"/>
    <w:charset w:val="00"/>
    <w:family w:val="roman"/>
    <w:pitch w:val="default"/>
    <w:sig w:usb0="E00006FF" w:usb1="420024FF" w:usb2="02000000" w:usb3="00000000" w:csb0="2000019F" w:csb1="00000000"/>
  </w:font>
  <w:font w:name="等线">
    <w:altName w:val="Microsoft YaHei"/>
    <w:panose1 w:val="00000000000000000000"/>
    <w:charset w:val="00"/>
    <w:family w:val="auto"/>
    <w:pitch w:val="default"/>
    <w:sig w:usb0="00000000" w:usb1="00000000" w:usb2="00000000" w:usb3="00000000" w:csb0="00000000" w:csb1="00000000"/>
  </w:font>
  <w:font w:name="+Body">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AFD554">
    <w:pPr>
      <w:pStyle w:val="14"/>
      <w:spacing w:line="14" w:lineRule="auto"/>
      <w:rPr>
        <w:sz w:val="19"/>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EA3BF8">
    <w:pPr>
      <w:pStyle w:val="24"/>
      <w:rPr>
        <w:rFonts w:ascii="Goudy Old Style" w:hAnsi="Goudy Old Style" w:cs="Calibri Light"/>
        <w:b/>
        <w:sz w:val="26"/>
        <w:szCs w:val="26"/>
      </w:rPr>
    </w:pPr>
    <w:r>
      <mc:AlternateContent>
        <mc:Choice Requires="wps">
          <w:drawing>
            <wp:anchor distT="0" distB="0" distL="114300" distR="114300" simplePos="0" relativeHeight="251660288" behindDoc="0" locked="0" layoutInCell="1" allowOverlap="1">
              <wp:simplePos x="0" y="0"/>
              <wp:positionH relativeFrom="column">
                <wp:posOffset>4412615</wp:posOffset>
              </wp:positionH>
              <wp:positionV relativeFrom="paragraph">
                <wp:posOffset>228600</wp:posOffset>
              </wp:positionV>
              <wp:extent cx="1828800" cy="182880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852CF91">
                          <w:pPr>
                            <w:pStyle w:val="24"/>
                            <w:jc w:val="center"/>
                            <w:rPr>
                              <w:rFonts w:ascii="Goudy Old Style" w:hAnsi="Goudy Old Style"/>
                              <w:caps/>
                              <w:color w:val="767171" w:themeColor="background2" w:themeShade="80"/>
                              <w:sz w:val="24"/>
                              <w:szCs w:val="24"/>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Goudy Old Style" w:hAnsi="Goudy Old Style" w:cstheme="minorHAnsi"/>
                              <w:bCs/>
                              <w:color w:val="767171" w:themeColor="background2" w:themeShade="80"/>
                              <w:sz w:val="24"/>
                              <w:szCs w:val="24"/>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Volume 4, Issue </w:t>
                          </w:r>
                          <w:r>
                            <w:rPr>
                              <w:rFonts w:hint="default" w:ascii="Goudy Old Style" w:hAnsi="Goudy Old Style" w:cstheme="minorHAnsi"/>
                              <w:bCs/>
                              <w:color w:val="767171" w:themeColor="background2" w:themeShade="80"/>
                              <w:sz w:val="24"/>
                              <w:szCs w:val="24"/>
                              <w:lang w:val="en-US"/>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4</w:t>
                          </w:r>
                          <w:r>
                            <w:rPr>
                              <w:rFonts w:ascii="Goudy Old Style" w:hAnsi="Goudy Old Style" w:cstheme="minorHAnsi"/>
                              <w:bCs/>
                              <w:color w:val="767171" w:themeColor="background2" w:themeShade="80"/>
                              <w:sz w:val="24"/>
                              <w:szCs w:val="24"/>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2026</w:t>
                          </w:r>
                        </w:p>
                      </w:txbxContent>
                    </wps:txbx>
                    <wps:bodyPr rot="0" spcFirstLastPara="0" vertOverflow="overflow" horzOverflow="overflow" vert="horz" wrap="none" lIns="91440" tIns="45720" rIns="91440" bIns="45720" numCol="1" spcCol="0" rtlCol="0" fromWordArt="0" anchor="t" anchorCtr="0" forceAA="0" compatLnSpc="1">
                      <a:spAutoFit/>
                      <a:scene3d>
                        <a:camera prst="orthographicFront">
                          <a:rot lat="0" lon="0" rev="0"/>
                        </a:camera>
                        <a:lightRig rig="contrasting" dir="t">
                          <a:rot lat="0" lon="0" rev="4500000"/>
                        </a:lightRig>
                      </a:scene3d>
                      <a:sp3d contourW="6350" prstMaterial="metal">
                        <a:bevelT w="127000" h="31750" prst="relaxedInset"/>
                        <a:contourClr>
                          <a:schemeClr val="accent1">
                            <a:shade val="75000"/>
                          </a:schemeClr>
                        </a:contourClr>
                      </a:sp3d>
                    </wps:bodyPr>
                  </wps:wsp>
                </a:graphicData>
              </a:graphic>
            </wp:anchor>
          </w:drawing>
        </mc:Choice>
        <mc:Fallback>
          <w:pict>
            <v:shape id="_x0000_s1026" o:spid="_x0000_s1026" o:spt="202" type="#_x0000_t202" style="position:absolute;left:0pt;margin-left:347.45pt;margin-top:18pt;height:144pt;width:144pt;mso-wrap-distance-bottom:0pt;mso-wrap-distance-left:9pt;mso-wrap-distance-right:9pt;mso-wrap-distance-top:0pt;mso-wrap-style:none;z-index:251660288;mso-width-relative:page;mso-height-relative:page;" filled="f" stroked="f" coordsize="21600,21600" o:gfxdata="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DQ2dADVAAAACgEAAA8AAAAAAAAAAQAgAAAAIgAAAGRycy9kb3ducmV2LnhtbFBLAQIUABQAAAAI&#10;AIdO4kDRrzGe1AIAAOgFAAAOAAAAAAAAAAEAIAAAACQBAABkcnMvZTJvRG9jLnhtbFBLBQYAAAAA&#10;BgAGAFkBAABqBgAAAAA=&#10;">
              <v:fill on="f" focussize="0,0"/>
              <v:stroke on="f"/>
              <v:imagedata o:title=""/>
              <o:lock v:ext="edit" aspectratio="f"/>
              <v:textbox style="mso-fit-shape-to-text:t;">
                <w:txbxContent>
                  <w:p w14:paraId="2852CF91">
                    <w:pPr>
                      <w:pStyle w:val="24"/>
                      <w:jc w:val="center"/>
                      <w:rPr>
                        <w:rFonts w:ascii="Goudy Old Style" w:hAnsi="Goudy Old Style"/>
                        <w:caps/>
                        <w:color w:val="767171" w:themeColor="background2" w:themeShade="80"/>
                        <w:sz w:val="24"/>
                        <w:szCs w:val="24"/>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Pr>
                        <w:rFonts w:ascii="Goudy Old Style" w:hAnsi="Goudy Old Style" w:cstheme="minorHAnsi"/>
                        <w:bCs/>
                        <w:color w:val="767171" w:themeColor="background2" w:themeShade="80"/>
                        <w:sz w:val="24"/>
                        <w:szCs w:val="24"/>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xml:space="preserve">Volume 4, Issue </w:t>
                    </w:r>
                    <w:r>
                      <w:rPr>
                        <w:rFonts w:hint="default" w:ascii="Goudy Old Style" w:hAnsi="Goudy Old Style" w:cstheme="minorHAnsi"/>
                        <w:bCs/>
                        <w:color w:val="767171" w:themeColor="background2" w:themeShade="80"/>
                        <w:sz w:val="24"/>
                        <w:szCs w:val="24"/>
                        <w:lang w:val="en-US"/>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4</w:t>
                    </w:r>
                    <w:r>
                      <w:rPr>
                        <w:rFonts w:ascii="Goudy Old Style" w:hAnsi="Goudy Old Style" w:cstheme="minorHAnsi"/>
                        <w:bCs/>
                        <w:color w:val="767171" w:themeColor="background2" w:themeShade="80"/>
                        <w:sz w:val="24"/>
                        <w:szCs w:val="24"/>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 2026</w:t>
                    </w:r>
                  </w:p>
                </w:txbxContent>
              </v:textbox>
              <w10:wrap type="square"/>
            </v:shape>
          </w:pict>
        </mc:Fallback>
      </mc:AlternateContent>
    </w:r>
    <w:r>
      <w:rPr>
        <w:rFonts w:ascii="Goudy Old Style" w:hAnsi="Goudy Old Style" w:cs="Times New Roman"/>
        <w:b/>
        <w:color w:val="0070C0"/>
        <w:sz w:val="32"/>
        <w:szCs w:val="72"/>
      </w:rPr>
      <w:drawing>
        <wp:anchor distT="0" distB="0" distL="114300" distR="114300" simplePos="0" relativeHeight="251661312" behindDoc="1" locked="0" layoutInCell="0" allowOverlap="1">
          <wp:simplePos x="0" y="0"/>
          <wp:positionH relativeFrom="margin">
            <wp:align>center</wp:align>
          </wp:positionH>
          <wp:positionV relativeFrom="margin">
            <wp:align>center</wp:align>
          </wp:positionV>
          <wp:extent cx="1428750" cy="933450"/>
          <wp:effectExtent l="0" t="0" r="0" b="0"/>
          <wp:wrapNone/>
          <wp:docPr id="5" name="WordPictureWatermark123114486" descr="IE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123114486" descr="IEER logo"/>
                  <pic:cNvPicPr>
                    <a:picLocks noChangeAspect="1"/>
                  </pic:cNvPicPr>
                </pic:nvPicPr>
                <pic:blipFill>
                  <a:blip r:embed="rId1">
                    <a:lum bright="70001" contrast="-70000"/>
                  </a:blip>
                  <a:stretch>
                    <a:fillRect/>
                  </a:stretch>
                </pic:blipFill>
                <pic:spPr>
                  <a:xfrm>
                    <a:off x="0" y="0"/>
                    <a:ext cx="1428750" cy="933450"/>
                  </a:xfrm>
                  <a:prstGeom prst="rect">
                    <a:avLst/>
                  </a:prstGeom>
                  <a:noFill/>
                  <a:ln>
                    <a:noFill/>
                  </a:ln>
                </pic:spPr>
              </pic:pic>
            </a:graphicData>
          </a:graphic>
        </wp:anchor>
      </w:drawing>
    </w:r>
    <w:r>
      <w:rPr>
        <w:rFonts w:ascii="Goudy Old Style" w:hAnsi="Goudy Old Style" w:cs="Times New Roman"/>
        <w:b/>
        <w:color w:val="0070C0"/>
        <w:sz w:val="32"/>
        <w:szCs w:val="72"/>
        <w14:shadow w14:blurRad="38100" w14:dist="19050" w14:dir="2700000" w14:sx="100000" w14:sy="100000" w14:kx="0" w14:ky="0" w14:algn="tl">
          <w14:schemeClr w14:val="dk1">
            <w14:alpha w14:val="60000"/>
          </w14:schemeClr>
        </w14:shadow>
        <w14:textFill>
          <w14:solidFill>
            <w14:srgbClr w14:val="0070C0">
              <w14:shade w14:val="30000"/>
              <w14:satMod w14:val="115000"/>
            </w14:srgbClr>
          </w14:solidFill>
        </w14:textFill>
      </w:rPr>
      <w:t xml:space="preserve">Spectrum of Engineering Sciences </w:t>
    </w:r>
    <w:r>
      <w:rPr>
        <w:rFonts w:ascii="Goudy Old Style" w:hAnsi="Goudy Old Style" w:cs="Calibri Light"/>
        <w:b/>
        <w:sz w:val="26"/>
        <w:szCs w:val="26"/>
      </w:rPr>
      <w:t xml:space="preserve"> </w:t>
    </w:r>
  </w:p>
  <w:p w14:paraId="6F0B38F0">
    <w:pPr>
      <w:pStyle w:val="24"/>
      <w:rPr>
        <w:rFonts w:ascii="Goudy Old Style" w:hAnsi="Goudy Old Style" w:cstheme="minorHAnsi"/>
        <w:b/>
        <w:color w:val="767171" w:themeColor="background2" w:themeShade="80"/>
        <w:sz w:val="24"/>
        <w:szCs w:val="24"/>
      </w:rPr>
    </w:pPr>
    <w:r>
      <w:rPr>
        <w:rStyle w:val="28"/>
        <w:rFonts w:ascii="Goudy Old Style" w:hAnsi="Goudy Old Style"/>
        <w:sz w:val="24"/>
        <w:szCs w:val="24"/>
        <w:shd w:val="clear" w:color="auto" w:fill="FFFFFF"/>
      </w:rPr>
      <w:t>ISSN (e)</w:t>
    </w:r>
    <w:r>
      <w:rPr>
        <w:rFonts w:ascii="Goudy Old Style" w:hAnsi="Goudy Old Style"/>
        <w:sz w:val="24"/>
        <w:szCs w:val="24"/>
        <w:shd w:val="clear" w:color="auto" w:fill="FFFFFF"/>
      </w:rPr>
      <w:t> </w:t>
    </w:r>
    <w:r>
      <w:fldChar w:fldCharType="begin"/>
    </w:r>
    <w:r>
      <w:instrText xml:space="preserve"> HYPERLINK "https://portal.issn.org/resource/ISSN/3006-7030" </w:instrText>
    </w:r>
    <w:r>
      <w:fldChar w:fldCharType="separate"/>
    </w:r>
    <w:r>
      <w:rPr>
        <w:rStyle w:val="25"/>
        <w:rFonts w:ascii="Goudy Old Style" w:hAnsi="Goudy Old Style"/>
        <w:color w:val="006798"/>
        <w:sz w:val="24"/>
        <w:szCs w:val="24"/>
        <w:u w:val="none"/>
        <w:shd w:val="clear" w:color="auto" w:fill="FFFFFF"/>
      </w:rPr>
      <w:t>3007-3138</w:t>
    </w:r>
    <w:r>
      <w:rPr>
        <w:rStyle w:val="25"/>
        <w:rFonts w:ascii="Goudy Old Style" w:hAnsi="Goudy Old Style"/>
        <w:color w:val="006798"/>
        <w:sz w:val="24"/>
        <w:szCs w:val="24"/>
        <w:u w:val="none"/>
        <w:shd w:val="clear" w:color="auto" w:fill="FFFFFF"/>
      </w:rPr>
      <w:fldChar w:fldCharType="end"/>
    </w:r>
    <w:r>
      <w:rPr>
        <w:rFonts w:ascii="Goudy Old Style" w:hAnsi="Goudy Old Style"/>
        <w:sz w:val="24"/>
        <w:szCs w:val="24"/>
        <w:shd w:val="clear" w:color="auto" w:fill="FFFFFF"/>
      </w:rPr>
      <w:t> </w:t>
    </w:r>
    <w:r>
      <w:rPr>
        <w:rStyle w:val="28"/>
        <w:rFonts w:ascii="Goudy Old Style" w:hAnsi="Goudy Old Style"/>
        <w:sz w:val="24"/>
        <w:szCs w:val="24"/>
        <w:shd w:val="clear" w:color="auto" w:fill="FFFFFF"/>
      </w:rPr>
      <w:t>(p)</w:t>
    </w:r>
    <w:r>
      <w:rPr>
        <w:rFonts w:ascii="Goudy Old Style" w:hAnsi="Goudy Old Style"/>
        <w:sz w:val="24"/>
        <w:szCs w:val="24"/>
        <w:shd w:val="clear" w:color="auto" w:fill="FFFFFF"/>
      </w:rPr>
      <w:t> </w:t>
    </w:r>
    <w:r>
      <w:fldChar w:fldCharType="begin"/>
    </w:r>
    <w:r>
      <w:instrText xml:space="preserve"> HYPERLINK "https://portal.issn.org/resource/ISSN/3006-7030" </w:instrText>
    </w:r>
    <w:r>
      <w:fldChar w:fldCharType="separate"/>
    </w:r>
    <w:r>
      <w:rPr>
        <w:rStyle w:val="25"/>
        <w:rFonts w:ascii="Goudy Old Style" w:hAnsi="Goudy Old Style"/>
        <w:color w:val="006798"/>
        <w:sz w:val="24"/>
        <w:szCs w:val="24"/>
        <w:u w:val="none"/>
        <w:shd w:val="clear" w:color="auto" w:fill="FFFFFF"/>
      </w:rPr>
      <w:t>3007-31</w:t>
    </w:r>
    <w:r>
      <w:rPr>
        <w:rStyle w:val="25"/>
        <w:rFonts w:ascii="Goudy Old Style" w:hAnsi="Goudy Old Style"/>
        <w:color w:val="006798"/>
        <w:sz w:val="24"/>
        <w:szCs w:val="24"/>
        <w:u w:val="none"/>
        <w:shd w:val="clear" w:color="auto" w:fill="FFFFFF"/>
      </w:rPr>
      <w:fldChar w:fldCharType="end"/>
    </w:r>
    <w:r>
      <w:rPr>
        <w:rStyle w:val="25"/>
        <w:rFonts w:ascii="Goudy Old Style" w:hAnsi="Goudy Old Style"/>
        <w:color w:val="006798"/>
        <w:sz w:val="24"/>
        <w:szCs w:val="24"/>
        <w:u w:val="none"/>
        <w:shd w:val="clear" w:color="auto" w:fill="FFFFFF"/>
      </w:rPr>
      <w:t>2X</w:t>
    </w:r>
    <w:r>
      <w:rPr>
        <w:rFonts w:ascii="Goudy Old Style" w:hAnsi="Goudy Old Style"/>
        <w:sz w:val="24"/>
        <w:szCs w:val="24"/>
      </w:rPr>
      <w:tab/>
    </w:r>
    <w:r>
      <w:rPr>
        <w:rFonts w:ascii="Goudy Old Style" w:hAnsi="Goudy Old Style"/>
        <w:sz w:val="24"/>
        <w:szCs w:val="24"/>
      </w:rPr>
      <w:tab/>
    </w:r>
  </w:p>
  <w:p w14:paraId="1C943099">
    <w:pPr>
      <w:pStyle w:val="24"/>
      <w:rPr>
        <w:rFonts w:ascii="Goudy Old Style" w:hAnsi="Goudy Old Style"/>
        <w:b/>
        <w:sz w:val="16"/>
        <w:szCs w:val="26"/>
      </w:rPr>
    </w:pPr>
    <w:r>
      <w:rPr>
        <w:rFonts w:ascii="Goudy Old Style" w:hAnsi="Goudy Old Style"/>
        <w:color w:val="767171" w:themeColor="background2" w:themeShade="80"/>
        <w:sz w:val="24"/>
        <w:szCs w:val="24"/>
      </w:rPr>
      <mc:AlternateContent>
        <mc:Choice Requires="wps">
          <w:drawing>
            <wp:anchor distT="0" distB="0" distL="114300" distR="114300" simplePos="0" relativeHeight="251659264" behindDoc="0" locked="0" layoutInCell="1" allowOverlap="1">
              <wp:simplePos x="0" y="0"/>
              <wp:positionH relativeFrom="column">
                <wp:posOffset>-1150620</wp:posOffset>
              </wp:positionH>
              <wp:positionV relativeFrom="paragraph">
                <wp:posOffset>121285</wp:posOffset>
              </wp:positionV>
              <wp:extent cx="8007985" cy="0"/>
              <wp:effectExtent l="63500" t="54610" r="81915" b="78740"/>
              <wp:wrapNone/>
              <wp:docPr id="4" name="AutoShape 4"/>
              <wp:cNvGraphicFramePr/>
              <a:graphic xmlns:a="http://schemas.openxmlformats.org/drawingml/2006/main">
                <a:graphicData uri="http://schemas.microsoft.com/office/word/2010/wordprocessingShape">
                  <wps:wsp>
                    <wps:cNvCnPr>
                      <a:cxnSpLocks noChangeShapeType="1"/>
                    </wps:cNvCnPr>
                    <wps:spPr bwMode="auto">
                      <a:xfrm>
                        <a:off x="0" y="0"/>
                        <a:ext cx="8007927" cy="0"/>
                      </a:xfrm>
                      <a:prstGeom prst="straightConnector1">
                        <a:avLst/>
                      </a:prstGeom>
                      <a:effectLst>
                        <a:glow rad="63500">
                          <a:schemeClr val="accent3">
                            <a:satMod val="175000"/>
                            <a:alpha val="40000"/>
                          </a:schemeClr>
                        </a:glow>
                      </a:effectLst>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id="AutoShape 4" o:spid="_x0000_s1026" o:spt="32" type="#_x0000_t32" style="position:absolute;left:0pt;margin-left:-90.6pt;margin-top:9.55pt;height:0pt;width:630.55pt;z-index:251659264;mso-width-relative:page;mso-height-relative:page;" filled="f" stroked="t" coordsize="21600,21600" o:gfxdata="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xWEBitYAAAALAQAADwAAAAAAAAABACAAAAAiAAAAZHJzL2Rvd25yZXYueG1s&#10;UEsBAhQAFAAAAAgAh07iQHpSaRwzAgAAhAQAAA4AAAAAAAAAAQAgAAAAJQEAAGRycy9lMm9Eb2Mu&#10;eG1sUEsFBgAAAAAGAAYAWQEAAMoFAAAAAA==&#10;">
              <v:fill on="f" focussize="0,0"/>
              <v:stroke weight="1.5pt" color="#000000 [3200]" miterlimit="8" joinstyle="miter"/>
              <v:imagedata o:title=""/>
              <o:lock v:ext="edit" aspectratio="f"/>
            </v:shape>
          </w:pict>
        </mc:Fallback>
      </mc:AlternateContent>
    </w:r>
  </w:p>
  <w:p w14:paraId="7C192D3A">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3E4726D"/>
    <w:multiLevelType w:val="multilevel"/>
    <w:tmpl w:val="33E4726D"/>
    <w:lvl w:ilvl="0" w:tentative="0">
      <w:start w:val="1"/>
      <w:numFmt w:val="upperRoman"/>
      <w:pStyle w:val="149"/>
      <w:suff w:val="space"/>
      <w:lvlText w:val="%1."/>
      <w:lvlJc w:val="left"/>
      <w:pPr>
        <w:tabs>
          <w:tab w:val="left" w:pos="0"/>
        </w:tabs>
        <w:ind w:left="360" w:hanging="360"/>
      </w:pPr>
      <w:rPr>
        <w:rFonts w:hint="default" w:ascii="Times New Roman" w:hAnsi="Times New Roman" w:cs="Times New Roman"/>
        <w:color w:val="44546A"/>
      </w:rPr>
    </w:lvl>
    <w:lvl w:ilvl="1" w:tentative="0">
      <w:start w:val="1"/>
      <w:numFmt w:val="lowerLetter"/>
      <w:lvlText w:val="%2."/>
      <w:lvlJc w:val="left"/>
      <w:pPr>
        <w:tabs>
          <w:tab w:val="left" w:pos="0"/>
        </w:tabs>
        <w:ind w:left="1440" w:hanging="360"/>
      </w:pPr>
      <w:rPr>
        <w:rFonts w:hint="default"/>
      </w:rPr>
    </w:lvl>
    <w:lvl w:ilvl="2" w:tentative="0">
      <w:start w:val="1"/>
      <w:numFmt w:val="lowerRoman"/>
      <w:lvlText w:val="%3."/>
      <w:lvlJc w:val="right"/>
      <w:pPr>
        <w:tabs>
          <w:tab w:val="left" w:pos="0"/>
        </w:tabs>
        <w:ind w:left="2160" w:hanging="180"/>
      </w:pPr>
      <w:rPr>
        <w:rFonts w:hint="default"/>
      </w:rPr>
    </w:lvl>
    <w:lvl w:ilvl="3" w:tentative="0">
      <w:start w:val="1"/>
      <w:numFmt w:val="decimal"/>
      <w:lvlText w:val="%4."/>
      <w:lvlJc w:val="left"/>
      <w:pPr>
        <w:tabs>
          <w:tab w:val="left" w:pos="0"/>
        </w:tabs>
        <w:ind w:left="2880" w:hanging="360"/>
      </w:pPr>
      <w:rPr>
        <w:rFonts w:hint="default"/>
      </w:rPr>
    </w:lvl>
    <w:lvl w:ilvl="4" w:tentative="0">
      <w:start w:val="1"/>
      <w:numFmt w:val="lowerLetter"/>
      <w:lvlText w:val="%5."/>
      <w:lvlJc w:val="left"/>
      <w:pPr>
        <w:tabs>
          <w:tab w:val="left" w:pos="0"/>
        </w:tabs>
        <w:ind w:left="3600" w:hanging="360"/>
      </w:pPr>
      <w:rPr>
        <w:rFonts w:hint="default"/>
      </w:rPr>
    </w:lvl>
    <w:lvl w:ilvl="5" w:tentative="0">
      <w:start w:val="1"/>
      <w:numFmt w:val="lowerRoman"/>
      <w:lvlText w:val="%6."/>
      <w:lvlJc w:val="right"/>
      <w:pPr>
        <w:tabs>
          <w:tab w:val="left" w:pos="0"/>
        </w:tabs>
        <w:ind w:left="4320" w:hanging="180"/>
      </w:pPr>
      <w:rPr>
        <w:rFonts w:hint="default"/>
      </w:rPr>
    </w:lvl>
    <w:lvl w:ilvl="6" w:tentative="0">
      <w:start w:val="1"/>
      <w:numFmt w:val="decimal"/>
      <w:lvlText w:val="%7."/>
      <w:lvlJc w:val="left"/>
      <w:pPr>
        <w:tabs>
          <w:tab w:val="left" w:pos="0"/>
        </w:tabs>
        <w:ind w:left="5040" w:hanging="360"/>
      </w:pPr>
      <w:rPr>
        <w:rFonts w:hint="default"/>
      </w:rPr>
    </w:lvl>
    <w:lvl w:ilvl="7" w:tentative="0">
      <w:start w:val="1"/>
      <w:numFmt w:val="lowerLetter"/>
      <w:lvlText w:val="%8."/>
      <w:lvlJc w:val="left"/>
      <w:pPr>
        <w:tabs>
          <w:tab w:val="left" w:pos="0"/>
        </w:tabs>
        <w:ind w:left="5760" w:hanging="360"/>
      </w:pPr>
      <w:rPr>
        <w:rFonts w:hint="default"/>
      </w:rPr>
    </w:lvl>
    <w:lvl w:ilvl="8" w:tentative="0">
      <w:start w:val="1"/>
      <w:numFmt w:val="lowerRoman"/>
      <w:lvlText w:val="%9."/>
      <w:lvlJc w:val="right"/>
      <w:pPr>
        <w:tabs>
          <w:tab w:val="left" w:pos="0"/>
        </w:tabs>
        <w:ind w:left="6480" w:hanging="180"/>
      </w:pPr>
      <w:rPr>
        <w:rFonts w:hint="default"/>
      </w:rPr>
    </w:lvl>
  </w:abstractNum>
  <w:abstractNum w:abstractNumId="1">
    <w:nsid w:val="37660336"/>
    <w:multiLevelType w:val="multilevel"/>
    <w:tmpl w:val="37660336"/>
    <w:lvl w:ilvl="0" w:tentative="0">
      <w:start w:val="1"/>
      <w:numFmt w:val="bullet"/>
      <w:pStyle w:val="125"/>
      <w:lvlText w:val=""/>
      <w:lvlJc w:val="left"/>
      <w:pPr>
        <w:tabs>
          <w:tab w:val="left" w:pos="648"/>
        </w:tabs>
        <w:ind w:left="64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52CA544A"/>
    <w:multiLevelType w:val="singleLevel"/>
    <w:tmpl w:val="52CA544A"/>
    <w:lvl w:ilvl="0" w:tentative="0">
      <w:start w:val="1"/>
      <w:numFmt w:val="decimal"/>
      <w:pStyle w:val="128"/>
      <w:lvlText w:val="[%1]"/>
      <w:lvlJc w:val="left"/>
      <w:pPr>
        <w:tabs>
          <w:tab w:val="left" w:pos="360"/>
        </w:tabs>
        <w:ind w:left="360" w:hanging="360"/>
      </w:pPr>
      <w:rPr>
        <w:rFonts w:hint="default" w:ascii="Times New Roman" w:hAnsi="Times New Roman" w:cs="Times New Roman"/>
        <w:b w:val="0"/>
        <w:bCs w:val="0"/>
        <w:i w:val="0"/>
        <w:iCs w:val="0"/>
        <w:sz w:val="22"/>
        <w:szCs w:val="16"/>
      </w:rPr>
    </w:lvl>
  </w:abstractNum>
  <w:abstractNum w:abstractNumId="3">
    <w:nsid w:val="6C402C58"/>
    <w:multiLevelType w:val="multilevel"/>
    <w:tmpl w:val="6C402C58"/>
    <w:lvl w:ilvl="0" w:tentative="0">
      <w:start w:val="1"/>
      <w:numFmt w:val="decimal"/>
      <w:pStyle w:val="126"/>
      <w:lvlText w:val="Fig. %1."/>
      <w:lvlJc w:val="left"/>
      <w:pPr>
        <w:ind w:left="360" w:hanging="360"/>
      </w:pPr>
      <w:rPr>
        <w:rFonts w:hint="default" w:ascii="Times New Roman" w:hAnsi="Times New Roman" w:cs="Times New Roman"/>
        <w:b w:val="0"/>
        <w:bCs w:val="0"/>
        <w:i w:val="0"/>
        <w:iCs w:val="0"/>
        <w:color w:val="auto"/>
        <w:sz w:val="16"/>
        <w:szCs w:val="16"/>
      </w:rPr>
    </w:lvl>
    <w:lvl w:ilvl="1" w:tentative="0">
      <w:start w:val="1"/>
      <w:numFmt w:val="lowerLetter"/>
      <w:lvlText w:val="%2."/>
      <w:lvlJc w:val="left"/>
      <w:pPr>
        <w:tabs>
          <w:tab w:val="left" w:pos="1440"/>
        </w:tabs>
        <w:ind w:left="1440" w:hanging="360"/>
      </w:pPr>
      <w:rPr>
        <w:rFonts w:cs="Times New Roman"/>
      </w:rPr>
    </w:lvl>
    <w:lvl w:ilvl="2" w:tentative="0">
      <w:start w:val="1"/>
      <w:numFmt w:val="lowerRoman"/>
      <w:lvlText w:val="%3."/>
      <w:lvlJc w:val="right"/>
      <w:pPr>
        <w:tabs>
          <w:tab w:val="left" w:pos="2160"/>
        </w:tabs>
        <w:ind w:left="2160" w:hanging="180"/>
      </w:pPr>
      <w:rPr>
        <w:rFonts w:cs="Times New Roman"/>
      </w:rPr>
    </w:lvl>
    <w:lvl w:ilvl="3" w:tentative="0">
      <w:start w:val="1"/>
      <w:numFmt w:val="decimal"/>
      <w:lvlText w:val="%4."/>
      <w:lvlJc w:val="left"/>
      <w:pPr>
        <w:tabs>
          <w:tab w:val="left" w:pos="2880"/>
        </w:tabs>
        <w:ind w:left="2880" w:hanging="360"/>
      </w:pPr>
      <w:rPr>
        <w:rFonts w:cs="Times New Roman"/>
      </w:rPr>
    </w:lvl>
    <w:lvl w:ilvl="4" w:tentative="0">
      <w:start w:val="1"/>
      <w:numFmt w:val="lowerLetter"/>
      <w:lvlText w:val="%5."/>
      <w:lvlJc w:val="left"/>
      <w:pPr>
        <w:tabs>
          <w:tab w:val="left" w:pos="3600"/>
        </w:tabs>
        <w:ind w:left="3600" w:hanging="360"/>
      </w:pPr>
      <w:rPr>
        <w:rFonts w:cs="Times New Roman"/>
      </w:rPr>
    </w:lvl>
    <w:lvl w:ilvl="5" w:tentative="0">
      <w:start w:val="1"/>
      <w:numFmt w:val="lowerRoman"/>
      <w:lvlText w:val="%6."/>
      <w:lvlJc w:val="right"/>
      <w:pPr>
        <w:tabs>
          <w:tab w:val="left" w:pos="4320"/>
        </w:tabs>
        <w:ind w:left="4320" w:hanging="180"/>
      </w:pPr>
      <w:rPr>
        <w:rFonts w:cs="Times New Roman"/>
      </w:rPr>
    </w:lvl>
    <w:lvl w:ilvl="6" w:tentative="0">
      <w:start w:val="1"/>
      <w:numFmt w:val="decimal"/>
      <w:lvlText w:val="%7."/>
      <w:lvlJc w:val="left"/>
      <w:pPr>
        <w:tabs>
          <w:tab w:val="left" w:pos="5040"/>
        </w:tabs>
        <w:ind w:left="5040" w:hanging="360"/>
      </w:pPr>
      <w:rPr>
        <w:rFonts w:cs="Times New Roman"/>
      </w:rPr>
    </w:lvl>
    <w:lvl w:ilvl="7" w:tentative="0">
      <w:start w:val="1"/>
      <w:numFmt w:val="lowerLetter"/>
      <w:lvlText w:val="%8."/>
      <w:lvlJc w:val="left"/>
      <w:pPr>
        <w:tabs>
          <w:tab w:val="left" w:pos="5760"/>
        </w:tabs>
        <w:ind w:left="5760" w:hanging="360"/>
      </w:pPr>
      <w:rPr>
        <w:rFonts w:cs="Times New Roman"/>
      </w:rPr>
    </w:lvl>
    <w:lvl w:ilvl="8" w:tentative="0">
      <w:start w:val="1"/>
      <w:numFmt w:val="lowerRoman"/>
      <w:lvlText w:val="%9."/>
      <w:lvlJc w:val="right"/>
      <w:pPr>
        <w:tabs>
          <w:tab w:val="left" w:pos="6480"/>
        </w:tabs>
        <w:ind w:left="6480" w:hanging="180"/>
      </w:pPr>
      <w:rPr>
        <w:rFonts w:cs="Times New Roman"/>
      </w:rPr>
    </w:lvl>
  </w:abstractNum>
  <w:abstractNum w:abstractNumId="4">
    <w:nsid w:val="6CD32DA8"/>
    <w:multiLevelType w:val="singleLevel"/>
    <w:tmpl w:val="6CD32DA8"/>
    <w:lvl w:ilvl="0" w:tentative="0">
      <w:start w:val="1"/>
      <w:numFmt w:val="upperRoman"/>
      <w:pStyle w:val="127"/>
      <w:lvlText w:val="TABLE %1. "/>
      <w:lvlJc w:val="left"/>
      <w:pPr>
        <w:tabs>
          <w:tab w:val="left" w:pos="2790"/>
        </w:tabs>
      </w:pPr>
      <w:rPr>
        <w:rFonts w:hint="default" w:ascii="Times New Roman" w:hAnsi="Times New Roman" w:cs="Times New Roman"/>
        <w:b/>
        <w:bCs w:val="0"/>
        <w:i w:val="0"/>
        <w:iCs w:val="0"/>
        <w:sz w:val="16"/>
        <w:szCs w:val="16"/>
      </w:rPr>
    </w:lvl>
  </w:abstractNum>
  <w:num w:numId="1">
    <w:abstractNumId w:val="1"/>
  </w:num>
  <w:num w:numId="2">
    <w:abstractNumId w:val="3"/>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noPunctuationKerning w:val="1"/>
  <w:characterSpacingControl w:val="doNotCompress"/>
  <w:footnotePr>
    <w:footnote w:id="0"/>
    <w:footnote w:id="1"/>
  </w:footnotePr>
  <w:endnotePr>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xtDAxN7U0M7A0tjQ2sjBQ0lEKTi0uzszPAykwrAUA97UO5SwAAAA="/>
  </w:docVars>
  <w:rsids>
    <w:rsidRoot w:val="00E11C49"/>
    <w:rsid w:val="00000AD2"/>
    <w:rsid w:val="0000638F"/>
    <w:rsid w:val="0000663C"/>
    <w:rsid w:val="0001792D"/>
    <w:rsid w:val="00017D95"/>
    <w:rsid w:val="00020C01"/>
    <w:rsid w:val="00020CDE"/>
    <w:rsid w:val="00027FA5"/>
    <w:rsid w:val="000344A5"/>
    <w:rsid w:val="000379E4"/>
    <w:rsid w:val="000406D9"/>
    <w:rsid w:val="00044F03"/>
    <w:rsid w:val="00050510"/>
    <w:rsid w:val="000611DB"/>
    <w:rsid w:val="00061AB0"/>
    <w:rsid w:val="000704EC"/>
    <w:rsid w:val="0008142A"/>
    <w:rsid w:val="000839FA"/>
    <w:rsid w:val="00083C63"/>
    <w:rsid w:val="000947E1"/>
    <w:rsid w:val="00097E2C"/>
    <w:rsid w:val="000A03F6"/>
    <w:rsid w:val="000A2B00"/>
    <w:rsid w:val="000A4707"/>
    <w:rsid w:val="000C1C38"/>
    <w:rsid w:val="000D1673"/>
    <w:rsid w:val="000D18A2"/>
    <w:rsid w:val="000D4964"/>
    <w:rsid w:val="000D6859"/>
    <w:rsid w:val="00102899"/>
    <w:rsid w:val="001049E7"/>
    <w:rsid w:val="001067D3"/>
    <w:rsid w:val="00107A37"/>
    <w:rsid w:val="001124DD"/>
    <w:rsid w:val="001143E3"/>
    <w:rsid w:val="00116CBC"/>
    <w:rsid w:val="00134672"/>
    <w:rsid w:val="00134A75"/>
    <w:rsid w:val="00141084"/>
    <w:rsid w:val="00146898"/>
    <w:rsid w:val="0016316B"/>
    <w:rsid w:val="00163924"/>
    <w:rsid w:val="0016422A"/>
    <w:rsid w:val="001657CB"/>
    <w:rsid w:val="001837D5"/>
    <w:rsid w:val="00191614"/>
    <w:rsid w:val="0019441A"/>
    <w:rsid w:val="001A4782"/>
    <w:rsid w:val="001A65C6"/>
    <w:rsid w:val="001B4ED2"/>
    <w:rsid w:val="001C75F0"/>
    <w:rsid w:val="001C7679"/>
    <w:rsid w:val="001D1BA8"/>
    <w:rsid w:val="001D2E6B"/>
    <w:rsid w:val="001D36CB"/>
    <w:rsid w:val="001E06C2"/>
    <w:rsid w:val="001E33C5"/>
    <w:rsid w:val="001F7D60"/>
    <w:rsid w:val="00202066"/>
    <w:rsid w:val="00206D67"/>
    <w:rsid w:val="00207414"/>
    <w:rsid w:val="002104D2"/>
    <w:rsid w:val="002150E5"/>
    <w:rsid w:val="002246A9"/>
    <w:rsid w:val="00224DDC"/>
    <w:rsid w:val="00225CC4"/>
    <w:rsid w:val="00227A49"/>
    <w:rsid w:val="00231B3B"/>
    <w:rsid w:val="00232BF0"/>
    <w:rsid w:val="0023583D"/>
    <w:rsid w:val="00255EBE"/>
    <w:rsid w:val="00257499"/>
    <w:rsid w:val="002609A3"/>
    <w:rsid w:val="00263121"/>
    <w:rsid w:val="002636DE"/>
    <w:rsid w:val="00266031"/>
    <w:rsid w:val="00266AEC"/>
    <w:rsid w:val="00275BE1"/>
    <w:rsid w:val="00293BC7"/>
    <w:rsid w:val="0029757E"/>
    <w:rsid w:val="002A1F03"/>
    <w:rsid w:val="002B3B6A"/>
    <w:rsid w:val="002B3E35"/>
    <w:rsid w:val="002B4213"/>
    <w:rsid w:val="002B4B62"/>
    <w:rsid w:val="002C4D5F"/>
    <w:rsid w:val="002C7D37"/>
    <w:rsid w:val="002D337D"/>
    <w:rsid w:val="002D3745"/>
    <w:rsid w:val="002E5317"/>
    <w:rsid w:val="002F33B5"/>
    <w:rsid w:val="002F5F02"/>
    <w:rsid w:val="0030241A"/>
    <w:rsid w:val="00304C31"/>
    <w:rsid w:val="0031308D"/>
    <w:rsid w:val="00314454"/>
    <w:rsid w:val="003214B4"/>
    <w:rsid w:val="00325659"/>
    <w:rsid w:val="00332193"/>
    <w:rsid w:val="003334EC"/>
    <w:rsid w:val="003374A9"/>
    <w:rsid w:val="00366449"/>
    <w:rsid w:val="003846AF"/>
    <w:rsid w:val="00384830"/>
    <w:rsid w:val="00393B17"/>
    <w:rsid w:val="003A3BA5"/>
    <w:rsid w:val="003B010F"/>
    <w:rsid w:val="003D2B95"/>
    <w:rsid w:val="003E1BF2"/>
    <w:rsid w:val="003E7E88"/>
    <w:rsid w:val="003F1AC0"/>
    <w:rsid w:val="003F4805"/>
    <w:rsid w:val="00410D43"/>
    <w:rsid w:val="00413428"/>
    <w:rsid w:val="0041692D"/>
    <w:rsid w:val="00416C05"/>
    <w:rsid w:val="004362EB"/>
    <w:rsid w:val="00440AB2"/>
    <w:rsid w:val="00444DCB"/>
    <w:rsid w:val="004467F4"/>
    <w:rsid w:val="0044790A"/>
    <w:rsid w:val="004604BF"/>
    <w:rsid w:val="004643BE"/>
    <w:rsid w:val="00466F4D"/>
    <w:rsid w:val="00475277"/>
    <w:rsid w:val="004776AB"/>
    <w:rsid w:val="00482761"/>
    <w:rsid w:val="00485448"/>
    <w:rsid w:val="00486CC6"/>
    <w:rsid w:val="004875B1"/>
    <w:rsid w:val="0049216B"/>
    <w:rsid w:val="004946EA"/>
    <w:rsid w:val="00495100"/>
    <w:rsid w:val="004A4863"/>
    <w:rsid w:val="004C2570"/>
    <w:rsid w:val="004C2786"/>
    <w:rsid w:val="004C6E24"/>
    <w:rsid w:val="004D4916"/>
    <w:rsid w:val="004E1AFB"/>
    <w:rsid w:val="004E3039"/>
    <w:rsid w:val="005012DA"/>
    <w:rsid w:val="0051655D"/>
    <w:rsid w:val="00516E4E"/>
    <w:rsid w:val="00517CCE"/>
    <w:rsid w:val="00530EFB"/>
    <w:rsid w:val="0054434E"/>
    <w:rsid w:val="005472FA"/>
    <w:rsid w:val="00550FDA"/>
    <w:rsid w:val="00553033"/>
    <w:rsid w:val="00554C6A"/>
    <w:rsid w:val="00560D41"/>
    <w:rsid w:val="00562523"/>
    <w:rsid w:val="005736AC"/>
    <w:rsid w:val="005762EB"/>
    <w:rsid w:val="00582526"/>
    <w:rsid w:val="005A7DA3"/>
    <w:rsid w:val="005B0DF3"/>
    <w:rsid w:val="005B2FC9"/>
    <w:rsid w:val="005C00E2"/>
    <w:rsid w:val="005C1A22"/>
    <w:rsid w:val="005C1FED"/>
    <w:rsid w:val="005E61D3"/>
    <w:rsid w:val="005F6893"/>
    <w:rsid w:val="006571D7"/>
    <w:rsid w:val="0066304E"/>
    <w:rsid w:val="00664084"/>
    <w:rsid w:val="0067296A"/>
    <w:rsid w:val="006753B5"/>
    <w:rsid w:val="006768FB"/>
    <w:rsid w:val="00684A99"/>
    <w:rsid w:val="0069112C"/>
    <w:rsid w:val="006B76A0"/>
    <w:rsid w:val="006C11B3"/>
    <w:rsid w:val="006C12A4"/>
    <w:rsid w:val="006E31D4"/>
    <w:rsid w:val="006F6159"/>
    <w:rsid w:val="007143EC"/>
    <w:rsid w:val="0072243D"/>
    <w:rsid w:val="00726E6B"/>
    <w:rsid w:val="00736027"/>
    <w:rsid w:val="0074546F"/>
    <w:rsid w:val="00747A12"/>
    <w:rsid w:val="00757229"/>
    <w:rsid w:val="007637EE"/>
    <w:rsid w:val="0077191D"/>
    <w:rsid w:val="00772A23"/>
    <w:rsid w:val="007918E9"/>
    <w:rsid w:val="00794462"/>
    <w:rsid w:val="007A5987"/>
    <w:rsid w:val="007A7F32"/>
    <w:rsid w:val="007D667A"/>
    <w:rsid w:val="007E5DC2"/>
    <w:rsid w:val="007F44FB"/>
    <w:rsid w:val="007F6A70"/>
    <w:rsid w:val="008018B7"/>
    <w:rsid w:val="00803CB5"/>
    <w:rsid w:val="008249D5"/>
    <w:rsid w:val="00826401"/>
    <w:rsid w:val="00837216"/>
    <w:rsid w:val="00840E5A"/>
    <w:rsid w:val="008437E8"/>
    <w:rsid w:val="00852774"/>
    <w:rsid w:val="00861E5E"/>
    <w:rsid w:val="00863614"/>
    <w:rsid w:val="00865470"/>
    <w:rsid w:val="00866A94"/>
    <w:rsid w:val="00880581"/>
    <w:rsid w:val="008A6303"/>
    <w:rsid w:val="008B458F"/>
    <w:rsid w:val="008D3AD6"/>
    <w:rsid w:val="008D6FB7"/>
    <w:rsid w:val="008E0EB1"/>
    <w:rsid w:val="008E1D88"/>
    <w:rsid w:val="008E2AA7"/>
    <w:rsid w:val="008E5450"/>
    <w:rsid w:val="00901F6E"/>
    <w:rsid w:val="00914492"/>
    <w:rsid w:val="00926028"/>
    <w:rsid w:val="00932ED1"/>
    <w:rsid w:val="009365E4"/>
    <w:rsid w:val="00936C7E"/>
    <w:rsid w:val="00946E7C"/>
    <w:rsid w:val="0094725F"/>
    <w:rsid w:val="00952C85"/>
    <w:rsid w:val="009601C8"/>
    <w:rsid w:val="0096094C"/>
    <w:rsid w:val="00961996"/>
    <w:rsid w:val="0098354B"/>
    <w:rsid w:val="009B1992"/>
    <w:rsid w:val="009C3F83"/>
    <w:rsid w:val="009C450B"/>
    <w:rsid w:val="009C4853"/>
    <w:rsid w:val="009C57CD"/>
    <w:rsid w:val="009C64A4"/>
    <w:rsid w:val="009C70BB"/>
    <w:rsid w:val="009D2A6C"/>
    <w:rsid w:val="009D3518"/>
    <w:rsid w:val="009E0754"/>
    <w:rsid w:val="009E07FB"/>
    <w:rsid w:val="009E5327"/>
    <w:rsid w:val="00A05F2B"/>
    <w:rsid w:val="00A2758D"/>
    <w:rsid w:val="00A44958"/>
    <w:rsid w:val="00A47280"/>
    <w:rsid w:val="00A53D6D"/>
    <w:rsid w:val="00A570DF"/>
    <w:rsid w:val="00A60B63"/>
    <w:rsid w:val="00A6227D"/>
    <w:rsid w:val="00A6774D"/>
    <w:rsid w:val="00A7091A"/>
    <w:rsid w:val="00A71044"/>
    <w:rsid w:val="00A778E6"/>
    <w:rsid w:val="00A94111"/>
    <w:rsid w:val="00AA3B6B"/>
    <w:rsid w:val="00AB38FB"/>
    <w:rsid w:val="00AC300A"/>
    <w:rsid w:val="00AD2307"/>
    <w:rsid w:val="00AE06B2"/>
    <w:rsid w:val="00AE4788"/>
    <w:rsid w:val="00AF3A2E"/>
    <w:rsid w:val="00AF3CDE"/>
    <w:rsid w:val="00B139CD"/>
    <w:rsid w:val="00B206D1"/>
    <w:rsid w:val="00B23FB0"/>
    <w:rsid w:val="00B2621E"/>
    <w:rsid w:val="00B317A0"/>
    <w:rsid w:val="00B31E5D"/>
    <w:rsid w:val="00B340C6"/>
    <w:rsid w:val="00B36940"/>
    <w:rsid w:val="00B4054C"/>
    <w:rsid w:val="00B43346"/>
    <w:rsid w:val="00B47A1F"/>
    <w:rsid w:val="00B51E87"/>
    <w:rsid w:val="00B710CB"/>
    <w:rsid w:val="00B72438"/>
    <w:rsid w:val="00B74D0C"/>
    <w:rsid w:val="00B768DA"/>
    <w:rsid w:val="00B76BAE"/>
    <w:rsid w:val="00B77FA7"/>
    <w:rsid w:val="00B85CCE"/>
    <w:rsid w:val="00B8722F"/>
    <w:rsid w:val="00B874D3"/>
    <w:rsid w:val="00B9558F"/>
    <w:rsid w:val="00BA114A"/>
    <w:rsid w:val="00BB354B"/>
    <w:rsid w:val="00BB3690"/>
    <w:rsid w:val="00BB70DE"/>
    <w:rsid w:val="00BC1B38"/>
    <w:rsid w:val="00BC4BA4"/>
    <w:rsid w:val="00BC54B2"/>
    <w:rsid w:val="00BC6900"/>
    <w:rsid w:val="00BD33D8"/>
    <w:rsid w:val="00BF1FBF"/>
    <w:rsid w:val="00BF25D5"/>
    <w:rsid w:val="00C0163E"/>
    <w:rsid w:val="00C04FFA"/>
    <w:rsid w:val="00C06545"/>
    <w:rsid w:val="00C15CFE"/>
    <w:rsid w:val="00C23698"/>
    <w:rsid w:val="00C247EF"/>
    <w:rsid w:val="00C25CB5"/>
    <w:rsid w:val="00C30722"/>
    <w:rsid w:val="00C3786F"/>
    <w:rsid w:val="00C44097"/>
    <w:rsid w:val="00C4698B"/>
    <w:rsid w:val="00C518DA"/>
    <w:rsid w:val="00C624F5"/>
    <w:rsid w:val="00C64F6A"/>
    <w:rsid w:val="00C676B7"/>
    <w:rsid w:val="00C67DDE"/>
    <w:rsid w:val="00C71480"/>
    <w:rsid w:val="00C71678"/>
    <w:rsid w:val="00C74013"/>
    <w:rsid w:val="00C840DA"/>
    <w:rsid w:val="00C93412"/>
    <w:rsid w:val="00C93690"/>
    <w:rsid w:val="00C93B8F"/>
    <w:rsid w:val="00C93C17"/>
    <w:rsid w:val="00C96042"/>
    <w:rsid w:val="00C96CA7"/>
    <w:rsid w:val="00CA497B"/>
    <w:rsid w:val="00CA4C52"/>
    <w:rsid w:val="00CB321B"/>
    <w:rsid w:val="00CC2CD9"/>
    <w:rsid w:val="00CE0C82"/>
    <w:rsid w:val="00CF12E1"/>
    <w:rsid w:val="00D00157"/>
    <w:rsid w:val="00D0171D"/>
    <w:rsid w:val="00D033CB"/>
    <w:rsid w:val="00D077EC"/>
    <w:rsid w:val="00D21A06"/>
    <w:rsid w:val="00D22D14"/>
    <w:rsid w:val="00D239C2"/>
    <w:rsid w:val="00D239F3"/>
    <w:rsid w:val="00D24BCA"/>
    <w:rsid w:val="00D27DFC"/>
    <w:rsid w:val="00D4104F"/>
    <w:rsid w:val="00D444E5"/>
    <w:rsid w:val="00D456D0"/>
    <w:rsid w:val="00D46F48"/>
    <w:rsid w:val="00D472BD"/>
    <w:rsid w:val="00D52CBF"/>
    <w:rsid w:val="00D61471"/>
    <w:rsid w:val="00D711EB"/>
    <w:rsid w:val="00D7480D"/>
    <w:rsid w:val="00DA20D6"/>
    <w:rsid w:val="00DA2C6A"/>
    <w:rsid w:val="00DB0FB9"/>
    <w:rsid w:val="00DB2B5A"/>
    <w:rsid w:val="00DC0584"/>
    <w:rsid w:val="00DC455C"/>
    <w:rsid w:val="00DC66E9"/>
    <w:rsid w:val="00DC7B59"/>
    <w:rsid w:val="00DD2414"/>
    <w:rsid w:val="00DE4587"/>
    <w:rsid w:val="00DE5B8D"/>
    <w:rsid w:val="00DF0C33"/>
    <w:rsid w:val="00E0308E"/>
    <w:rsid w:val="00E0345E"/>
    <w:rsid w:val="00E04806"/>
    <w:rsid w:val="00E0764B"/>
    <w:rsid w:val="00E11C49"/>
    <w:rsid w:val="00E133A9"/>
    <w:rsid w:val="00E43270"/>
    <w:rsid w:val="00E441EF"/>
    <w:rsid w:val="00E4476A"/>
    <w:rsid w:val="00E449CD"/>
    <w:rsid w:val="00E4514C"/>
    <w:rsid w:val="00E505ED"/>
    <w:rsid w:val="00E639F4"/>
    <w:rsid w:val="00E72892"/>
    <w:rsid w:val="00E7649A"/>
    <w:rsid w:val="00E84B1E"/>
    <w:rsid w:val="00E8542F"/>
    <w:rsid w:val="00E91F52"/>
    <w:rsid w:val="00E9776E"/>
    <w:rsid w:val="00EB2AC2"/>
    <w:rsid w:val="00EB5EE0"/>
    <w:rsid w:val="00EC3719"/>
    <w:rsid w:val="00ED27BB"/>
    <w:rsid w:val="00ED6EF9"/>
    <w:rsid w:val="00EE1650"/>
    <w:rsid w:val="00EE261C"/>
    <w:rsid w:val="00EE3F4F"/>
    <w:rsid w:val="00EF5436"/>
    <w:rsid w:val="00F00196"/>
    <w:rsid w:val="00F35EB2"/>
    <w:rsid w:val="00F36FB2"/>
    <w:rsid w:val="00F45A94"/>
    <w:rsid w:val="00F52C4D"/>
    <w:rsid w:val="00F533D1"/>
    <w:rsid w:val="00F54154"/>
    <w:rsid w:val="00F66D01"/>
    <w:rsid w:val="00F6793F"/>
    <w:rsid w:val="00F71044"/>
    <w:rsid w:val="00F738B5"/>
    <w:rsid w:val="00F77E11"/>
    <w:rsid w:val="00F96932"/>
    <w:rsid w:val="00FA1209"/>
    <w:rsid w:val="00FA15BC"/>
    <w:rsid w:val="00FA3ED9"/>
    <w:rsid w:val="00FB5002"/>
    <w:rsid w:val="00FB596F"/>
    <w:rsid w:val="00FC3187"/>
    <w:rsid w:val="00FC3856"/>
    <w:rsid w:val="00FC4616"/>
    <w:rsid w:val="00FD4FF3"/>
    <w:rsid w:val="00FE6080"/>
    <w:rsid w:val="00FE7031"/>
    <w:rsid w:val="00FE726A"/>
    <w:rsid w:val="00FF3D0C"/>
    <w:rsid w:val="00FF3E70"/>
    <w:rsid w:val="014F22B3"/>
    <w:rsid w:val="019571A4"/>
    <w:rsid w:val="01C917F0"/>
    <w:rsid w:val="01D26DCC"/>
    <w:rsid w:val="021C1E0F"/>
    <w:rsid w:val="02345732"/>
    <w:rsid w:val="02365B70"/>
    <w:rsid w:val="023C41F5"/>
    <w:rsid w:val="028F4629"/>
    <w:rsid w:val="02A8425B"/>
    <w:rsid w:val="02E83E00"/>
    <w:rsid w:val="033C6AFE"/>
    <w:rsid w:val="033D5A1C"/>
    <w:rsid w:val="03456EEA"/>
    <w:rsid w:val="03595B8B"/>
    <w:rsid w:val="039E18E4"/>
    <w:rsid w:val="03E84A27"/>
    <w:rsid w:val="03F50C10"/>
    <w:rsid w:val="040C2C40"/>
    <w:rsid w:val="042A09CF"/>
    <w:rsid w:val="043D1681"/>
    <w:rsid w:val="04506123"/>
    <w:rsid w:val="0466617C"/>
    <w:rsid w:val="04852DB3"/>
    <w:rsid w:val="04877758"/>
    <w:rsid w:val="049F3CA4"/>
    <w:rsid w:val="04AB5D37"/>
    <w:rsid w:val="04B1735A"/>
    <w:rsid w:val="04BA64C7"/>
    <w:rsid w:val="04BB25D5"/>
    <w:rsid w:val="04E00372"/>
    <w:rsid w:val="056B10A4"/>
    <w:rsid w:val="05785B85"/>
    <w:rsid w:val="057C4A8E"/>
    <w:rsid w:val="058F1702"/>
    <w:rsid w:val="05BB2A5D"/>
    <w:rsid w:val="05C70657"/>
    <w:rsid w:val="05DE5886"/>
    <w:rsid w:val="05F72AB9"/>
    <w:rsid w:val="06127724"/>
    <w:rsid w:val="0629262C"/>
    <w:rsid w:val="067B3BB7"/>
    <w:rsid w:val="068C3AD4"/>
    <w:rsid w:val="06942E5A"/>
    <w:rsid w:val="06AC2AEC"/>
    <w:rsid w:val="06AF3684"/>
    <w:rsid w:val="06B57D92"/>
    <w:rsid w:val="07114D58"/>
    <w:rsid w:val="079B7E09"/>
    <w:rsid w:val="07C03DF5"/>
    <w:rsid w:val="07E72487"/>
    <w:rsid w:val="07F01960"/>
    <w:rsid w:val="08270E25"/>
    <w:rsid w:val="082C772E"/>
    <w:rsid w:val="08321601"/>
    <w:rsid w:val="08376635"/>
    <w:rsid w:val="0842083A"/>
    <w:rsid w:val="088B4361"/>
    <w:rsid w:val="08B60693"/>
    <w:rsid w:val="08C452ED"/>
    <w:rsid w:val="08F935C9"/>
    <w:rsid w:val="091A5CFC"/>
    <w:rsid w:val="09522BA0"/>
    <w:rsid w:val="095E0D6F"/>
    <w:rsid w:val="09762051"/>
    <w:rsid w:val="09800F76"/>
    <w:rsid w:val="09D321BC"/>
    <w:rsid w:val="09DB262E"/>
    <w:rsid w:val="0A0414FD"/>
    <w:rsid w:val="0A0E24A0"/>
    <w:rsid w:val="0A110812"/>
    <w:rsid w:val="0A4038E0"/>
    <w:rsid w:val="0A721336"/>
    <w:rsid w:val="0AC92FC0"/>
    <w:rsid w:val="0ADD0CDA"/>
    <w:rsid w:val="0AFD1714"/>
    <w:rsid w:val="0B0B7BA2"/>
    <w:rsid w:val="0B11653F"/>
    <w:rsid w:val="0B5C2DB3"/>
    <w:rsid w:val="0B6F3FD2"/>
    <w:rsid w:val="0BAF0379"/>
    <w:rsid w:val="0BBE6130"/>
    <w:rsid w:val="0BE92617"/>
    <w:rsid w:val="0BF67DEB"/>
    <w:rsid w:val="0BF95DC5"/>
    <w:rsid w:val="0C18306B"/>
    <w:rsid w:val="0C5267C3"/>
    <w:rsid w:val="0CE515B5"/>
    <w:rsid w:val="0D03048B"/>
    <w:rsid w:val="0D0F5C7C"/>
    <w:rsid w:val="0D282A67"/>
    <w:rsid w:val="0D516827"/>
    <w:rsid w:val="0D8540CF"/>
    <w:rsid w:val="0DDD75CE"/>
    <w:rsid w:val="0E035039"/>
    <w:rsid w:val="0E163773"/>
    <w:rsid w:val="0E222B82"/>
    <w:rsid w:val="0E737AC2"/>
    <w:rsid w:val="0E8A2F6A"/>
    <w:rsid w:val="0EB674A7"/>
    <w:rsid w:val="0EBE47DE"/>
    <w:rsid w:val="0F3B068B"/>
    <w:rsid w:val="0F5C7184"/>
    <w:rsid w:val="0FA605E4"/>
    <w:rsid w:val="10097863"/>
    <w:rsid w:val="10182989"/>
    <w:rsid w:val="10453240"/>
    <w:rsid w:val="10784632"/>
    <w:rsid w:val="10947F1F"/>
    <w:rsid w:val="10CA73DA"/>
    <w:rsid w:val="10DD1A4C"/>
    <w:rsid w:val="110E4E87"/>
    <w:rsid w:val="115F7F76"/>
    <w:rsid w:val="118118C0"/>
    <w:rsid w:val="11DA32D7"/>
    <w:rsid w:val="11EA1CA1"/>
    <w:rsid w:val="1203237C"/>
    <w:rsid w:val="121A64C0"/>
    <w:rsid w:val="12407DC1"/>
    <w:rsid w:val="126C0647"/>
    <w:rsid w:val="128B1090"/>
    <w:rsid w:val="12DC44B7"/>
    <w:rsid w:val="131C1EDB"/>
    <w:rsid w:val="1329313B"/>
    <w:rsid w:val="13486D30"/>
    <w:rsid w:val="13756A7B"/>
    <w:rsid w:val="137957E8"/>
    <w:rsid w:val="13A938D2"/>
    <w:rsid w:val="13B36AA6"/>
    <w:rsid w:val="13CD6F8A"/>
    <w:rsid w:val="13D90223"/>
    <w:rsid w:val="13DB4923"/>
    <w:rsid w:val="13F82B68"/>
    <w:rsid w:val="1406182E"/>
    <w:rsid w:val="145E3696"/>
    <w:rsid w:val="148F7048"/>
    <w:rsid w:val="1583172A"/>
    <w:rsid w:val="159C3D02"/>
    <w:rsid w:val="15D01A52"/>
    <w:rsid w:val="15F57C51"/>
    <w:rsid w:val="160568C2"/>
    <w:rsid w:val="160F2064"/>
    <w:rsid w:val="16574435"/>
    <w:rsid w:val="16A9586D"/>
    <w:rsid w:val="16AC1CA9"/>
    <w:rsid w:val="16F21710"/>
    <w:rsid w:val="171A79F6"/>
    <w:rsid w:val="17250BFD"/>
    <w:rsid w:val="1757480F"/>
    <w:rsid w:val="177449F6"/>
    <w:rsid w:val="178360D0"/>
    <w:rsid w:val="17936E30"/>
    <w:rsid w:val="17AD6F65"/>
    <w:rsid w:val="17B97E38"/>
    <w:rsid w:val="17E543A0"/>
    <w:rsid w:val="18030493"/>
    <w:rsid w:val="185B412D"/>
    <w:rsid w:val="1860228C"/>
    <w:rsid w:val="18D001B7"/>
    <w:rsid w:val="18EF6677"/>
    <w:rsid w:val="18FB459B"/>
    <w:rsid w:val="19544717"/>
    <w:rsid w:val="19604C71"/>
    <w:rsid w:val="19694CBC"/>
    <w:rsid w:val="196E79D3"/>
    <w:rsid w:val="198B7AEE"/>
    <w:rsid w:val="19A3638A"/>
    <w:rsid w:val="1A0C52EE"/>
    <w:rsid w:val="1A2566F4"/>
    <w:rsid w:val="1A2608F3"/>
    <w:rsid w:val="1A4511A7"/>
    <w:rsid w:val="1A48432A"/>
    <w:rsid w:val="1A7309F2"/>
    <w:rsid w:val="1A8F2520"/>
    <w:rsid w:val="1A9B1237"/>
    <w:rsid w:val="1AE4582E"/>
    <w:rsid w:val="1B2E6E70"/>
    <w:rsid w:val="1B5073C6"/>
    <w:rsid w:val="1B8078AA"/>
    <w:rsid w:val="1B8D369A"/>
    <w:rsid w:val="1B9F0216"/>
    <w:rsid w:val="1BAA1D73"/>
    <w:rsid w:val="1C6F7621"/>
    <w:rsid w:val="1C864BDA"/>
    <w:rsid w:val="1C914F66"/>
    <w:rsid w:val="1CAB7398"/>
    <w:rsid w:val="1CCF10FB"/>
    <w:rsid w:val="1CEB7EA9"/>
    <w:rsid w:val="1CEC5C03"/>
    <w:rsid w:val="1D050D2B"/>
    <w:rsid w:val="1D061E52"/>
    <w:rsid w:val="1D1A12F0"/>
    <w:rsid w:val="1D6D56FC"/>
    <w:rsid w:val="1D804DF1"/>
    <w:rsid w:val="1DEE781A"/>
    <w:rsid w:val="1E1A6E0A"/>
    <w:rsid w:val="1E260E02"/>
    <w:rsid w:val="1EAE27A1"/>
    <w:rsid w:val="1EB008CE"/>
    <w:rsid w:val="1EDC5D54"/>
    <w:rsid w:val="1F28533E"/>
    <w:rsid w:val="1F375813"/>
    <w:rsid w:val="1F5514F4"/>
    <w:rsid w:val="1F9B2412"/>
    <w:rsid w:val="1FB9701B"/>
    <w:rsid w:val="1FF07174"/>
    <w:rsid w:val="20142E25"/>
    <w:rsid w:val="203F4CFC"/>
    <w:rsid w:val="204600D2"/>
    <w:rsid w:val="20D46FE5"/>
    <w:rsid w:val="20D87472"/>
    <w:rsid w:val="20E83A57"/>
    <w:rsid w:val="20E863F3"/>
    <w:rsid w:val="210202B6"/>
    <w:rsid w:val="21035D38"/>
    <w:rsid w:val="21540FBA"/>
    <w:rsid w:val="21CC254E"/>
    <w:rsid w:val="21D2510C"/>
    <w:rsid w:val="22061E44"/>
    <w:rsid w:val="22093067"/>
    <w:rsid w:val="221F520B"/>
    <w:rsid w:val="22D075AD"/>
    <w:rsid w:val="22DE4344"/>
    <w:rsid w:val="23011FA9"/>
    <w:rsid w:val="23736DD4"/>
    <w:rsid w:val="237F2D78"/>
    <w:rsid w:val="2387457D"/>
    <w:rsid w:val="23883337"/>
    <w:rsid w:val="238C0BD7"/>
    <w:rsid w:val="238E2E63"/>
    <w:rsid w:val="239B2179"/>
    <w:rsid w:val="23F0711D"/>
    <w:rsid w:val="241455A4"/>
    <w:rsid w:val="242415A7"/>
    <w:rsid w:val="244075C1"/>
    <w:rsid w:val="24435E0A"/>
    <w:rsid w:val="24672DFE"/>
    <w:rsid w:val="24707475"/>
    <w:rsid w:val="24EF17A6"/>
    <w:rsid w:val="2537799C"/>
    <w:rsid w:val="255635B6"/>
    <w:rsid w:val="25893F23"/>
    <w:rsid w:val="259A1C3E"/>
    <w:rsid w:val="25EE1491"/>
    <w:rsid w:val="2603072E"/>
    <w:rsid w:val="261A1293"/>
    <w:rsid w:val="262C2580"/>
    <w:rsid w:val="264B4B51"/>
    <w:rsid w:val="26740760"/>
    <w:rsid w:val="269103A3"/>
    <w:rsid w:val="269D72C4"/>
    <w:rsid w:val="26B91CE3"/>
    <w:rsid w:val="26DF6A52"/>
    <w:rsid w:val="26EB02E7"/>
    <w:rsid w:val="2702304D"/>
    <w:rsid w:val="27045C32"/>
    <w:rsid w:val="270561F0"/>
    <w:rsid w:val="273B4692"/>
    <w:rsid w:val="273E5B72"/>
    <w:rsid w:val="277B3D54"/>
    <w:rsid w:val="27846077"/>
    <w:rsid w:val="27C918AB"/>
    <w:rsid w:val="27EC7D52"/>
    <w:rsid w:val="27F61A9E"/>
    <w:rsid w:val="28464799"/>
    <w:rsid w:val="287326EC"/>
    <w:rsid w:val="288670C5"/>
    <w:rsid w:val="28904F10"/>
    <w:rsid w:val="289E4771"/>
    <w:rsid w:val="290676DC"/>
    <w:rsid w:val="2907142C"/>
    <w:rsid w:val="2929521C"/>
    <w:rsid w:val="293D5198"/>
    <w:rsid w:val="293F0B3B"/>
    <w:rsid w:val="295D57F5"/>
    <w:rsid w:val="29B64C00"/>
    <w:rsid w:val="29BF490D"/>
    <w:rsid w:val="2A1B39A1"/>
    <w:rsid w:val="2A3B6454"/>
    <w:rsid w:val="2A3B6686"/>
    <w:rsid w:val="2A650BDD"/>
    <w:rsid w:val="2A7C4CBB"/>
    <w:rsid w:val="2AAA5340"/>
    <w:rsid w:val="2AAF3461"/>
    <w:rsid w:val="2AC25434"/>
    <w:rsid w:val="2ADF2133"/>
    <w:rsid w:val="2AE57BCE"/>
    <w:rsid w:val="2B205C57"/>
    <w:rsid w:val="2B222FB9"/>
    <w:rsid w:val="2B3171C9"/>
    <w:rsid w:val="2B3D11DD"/>
    <w:rsid w:val="2B7661DC"/>
    <w:rsid w:val="2B7959C5"/>
    <w:rsid w:val="2B8B2877"/>
    <w:rsid w:val="2BDD3602"/>
    <w:rsid w:val="2C542347"/>
    <w:rsid w:val="2C7212B2"/>
    <w:rsid w:val="2C88151C"/>
    <w:rsid w:val="2C9762B4"/>
    <w:rsid w:val="2CA96AB9"/>
    <w:rsid w:val="2CB84940"/>
    <w:rsid w:val="2CDC4780"/>
    <w:rsid w:val="2CEE2546"/>
    <w:rsid w:val="2CFB0CA1"/>
    <w:rsid w:val="2D013765"/>
    <w:rsid w:val="2D724D1D"/>
    <w:rsid w:val="2DAA2A4D"/>
    <w:rsid w:val="2DCF2F7A"/>
    <w:rsid w:val="2E21163E"/>
    <w:rsid w:val="2E250044"/>
    <w:rsid w:val="2E326E0A"/>
    <w:rsid w:val="2E345C65"/>
    <w:rsid w:val="2E5B4224"/>
    <w:rsid w:val="2E5C6915"/>
    <w:rsid w:val="2E711777"/>
    <w:rsid w:val="2E732F26"/>
    <w:rsid w:val="2E7B2FD1"/>
    <w:rsid w:val="2E9167EF"/>
    <w:rsid w:val="2EA46394"/>
    <w:rsid w:val="2EA72CDD"/>
    <w:rsid w:val="2F0F0ABC"/>
    <w:rsid w:val="2F1F5CDD"/>
    <w:rsid w:val="2F6B035B"/>
    <w:rsid w:val="2F7E3AF9"/>
    <w:rsid w:val="2FBD48E2"/>
    <w:rsid w:val="2FC17A65"/>
    <w:rsid w:val="2FDD6352"/>
    <w:rsid w:val="2FFD401B"/>
    <w:rsid w:val="302B4F16"/>
    <w:rsid w:val="304E1514"/>
    <w:rsid w:val="30B7079D"/>
    <w:rsid w:val="312D29B3"/>
    <w:rsid w:val="313047C4"/>
    <w:rsid w:val="313E660E"/>
    <w:rsid w:val="31470269"/>
    <w:rsid w:val="319375DC"/>
    <w:rsid w:val="31A74402"/>
    <w:rsid w:val="31B453AB"/>
    <w:rsid w:val="31BE5E9D"/>
    <w:rsid w:val="31E06CBE"/>
    <w:rsid w:val="3267794E"/>
    <w:rsid w:val="326E1C4D"/>
    <w:rsid w:val="326E3BD3"/>
    <w:rsid w:val="327A6757"/>
    <w:rsid w:val="32B54B96"/>
    <w:rsid w:val="32BB348F"/>
    <w:rsid w:val="32D657C5"/>
    <w:rsid w:val="32EB19C9"/>
    <w:rsid w:val="33275F94"/>
    <w:rsid w:val="335A2B4F"/>
    <w:rsid w:val="336B45E5"/>
    <w:rsid w:val="33863895"/>
    <w:rsid w:val="33A35879"/>
    <w:rsid w:val="34255A9B"/>
    <w:rsid w:val="34336FAF"/>
    <w:rsid w:val="34792FA7"/>
    <w:rsid w:val="34B20B82"/>
    <w:rsid w:val="34B7500A"/>
    <w:rsid w:val="34E268A9"/>
    <w:rsid w:val="34F678C3"/>
    <w:rsid w:val="35172AC2"/>
    <w:rsid w:val="3532729D"/>
    <w:rsid w:val="353F1A6B"/>
    <w:rsid w:val="354016EB"/>
    <w:rsid w:val="35575B05"/>
    <w:rsid w:val="355A4A91"/>
    <w:rsid w:val="3577166C"/>
    <w:rsid w:val="357D1550"/>
    <w:rsid w:val="358E5B04"/>
    <w:rsid w:val="35960D42"/>
    <w:rsid w:val="35B355F7"/>
    <w:rsid w:val="35C23197"/>
    <w:rsid w:val="35DE7672"/>
    <w:rsid w:val="361C4BD4"/>
    <w:rsid w:val="3625662C"/>
    <w:rsid w:val="36AF7718"/>
    <w:rsid w:val="36B43ADB"/>
    <w:rsid w:val="36C82256"/>
    <w:rsid w:val="36DD0212"/>
    <w:rsid w:val="36DD498F"/>
    <w:rsid w:val="36E9695B"/>
    <w:rsid w:val="37043EFF"/>
    <w:rsid w:val="371A4ED0"/>
    <w:rsid w:val="371C3076"/>
    <w:rsid w:val="37390DEB"/>
    <w:rsid w:val="374D3890"/>
    <w:rsid w:val="375556D9"/>
    <w:rsid w:val="37A778DB"/>
    <w:rsid w:val="37BA5665"/>
    <w:rsid w:val="37BB437D"/>
    <w:rsid w:val="37D83F93"/>
    <w:rsid w:val="382362A4"/>
    <w:rsid w:val="382F122A"/>
    <w:rsid w:val="384A2968"/>
    <w:rsid w:val="38A13333"/>
    <w:rsid w:val="38D20DE1"/>
    <w:rsid w:val="38DE31DB"/>
    <w:rsid w:val="38F2018F"/>
    <w:rsid w:val="38FB4DEA"/>
    <w:rsid w:val="39052016"/>
    <w:rsid w:val="39062BAA"/>
    <w:rsid w:val="392A4E43"/>
    <w:rsid w:val="39340367"/>
    <w:rsid w:val="39430981"/>
    <w:rsid w:val="397D519A"/>
    <w:rsid w:val="39F863E7"/>
    <w:rsid w:val="3A1A0AEB"/>
    <w:rsid w:val="3A2D057F"/>
    <w:rsid w:val="3A5E0B1C"/>
    <w:rsid w:val="3A856A0F"/>
    <w:rsid w:val="3A9E53BA"/>
    <w:rsid w:val="3AA54D45"/>
    <w:rsid w:val="3AF3189C"/>
    <w:rsid w:val="3B0B7F6D"/>
    <w:rsid w:val="3B1C5C89"/>
    <w:rsid w:val="3B6F7C91"/>
    <w:rsid w:val="3BBA4322"/>
    <w:rsid w:val="3BD52EB9"/>
    <w:rsid w:val="3BF227E9"/>
    <w:rsid w:val="3C074DF1"/>
    <w:rsid w:val="3C2165AA"/>
    <w:rsid w:val="3C6472A5"/>
    <w:rsid w:val="3C8D359F"/>
    <w:rsid w:val="3CCF6954"/>
    <w:rsid w:val="3CE86DBC"/>
    <w:rsid w:val="3D034824"/>
    <w:rsid w:val="3D115212"/>
    <w:rsid w:val="3D211F38"/>
    <w:rsid w:val="3D510270"/>
    <w:rsid w:val="3D515C28"/>
    <w:rsid w:val="3DC90D6A"/>
    <w:rsid w:val="3DF44458"/>
    <w:rsid w:val="3E1107E5"/>
    <w:rsid w:val="3E1C3B38"/>
    <w:rsid w:val="3E2B1316"/>
    <w:rsid w:val="3E5C3B5C"/>
    <w:rsid w:val="3E79568B"/>
    <w:rsid w:val="3EDF4135"/>
    <w:rsid w:val="3F2E7738"/>
    <w:rsid w:val="3F674836"/>
    <w:rsid w:val="3F7D1BBE"/>
    <w:rsid w:val="3F9175D8"/>
    <w:rsid w:val="3FB55092"/>
    <w:rsid w:val="3FB57611"/>
    <w:rsid w:val="3FC6744C"/>
    <w:rsid w:val="3FD8434D"/>
    <w:rsid w:val="3FF3269A"/>
    <w:rsid w:val="4001384F"/>
    <w:rsid w:val="401764AE"/>
    <w:rsid w:val="403221B3"/>
    <w:rsid w:val="40596027"/>
    <w:rsid w:val="405B36ED"/>
    <w:rsid w:val="407331DF"/>
    <w:rsid w:val="40D76533"/>
    <w:rsid w:val="40F44607"/>
    <w:rsid w:val="41254736"/>
    <w:rsid w:val="412D71FD"/>
    <w:rsid w:val="413E4F19"/>
    <w:rsid w:val="41505924"/>
    <w:rsid w:val="41801BCC"/>
    <w:rsid w:val="41B80A98"/>
    <w:rsid w:val="41B866CE"/>
    <w:rsid w:val="41B90FE0"/>
    <w:rsid w:val="41CC0A3C"/>
    <w:rsid w:val="41ED0F81"/>
    <w:rsid w:val="42014C57"/>
    <w:rsid w:val="421A3603"/>
    <w:rsid w:val="425546E1"/>
    <w:rsid w:val="42574C98"/>
    <w:rsid w:val="425F5834"/>
    <w:rsid w:val="427D7E24"/>
    <w:rsid w:val="429E5424"/>
    <w:rsid w:val="43460786"/>
    <w:rsid w:val="435832D1"/>
    <w:rsid w:val="43583ECE"/>
    <w:rsid w:val="43AC4528"/>
    <w:rsid w:val="44206EA1"/>
    <w:rsid w:val="443548AB"/>
    <w:rsid w:val="444473A5"/>
    <w:rsid w:val="448239F1"/>
    <w:rsid w:val="44B20838"/>
    <w:rsid w:val="44C853EB"/>
    <w:rsid w:val="44FF683E"/>
    <w:rsid w:val="45290D07"/>
    <w:rsid w:val="455901D1"/>
    <w:rsid w:val="455C6BD8"/>
    <w:rsid w:val="457D238B"/>
    <w:rsid w:val="458D0A2C"/>
    <w:rsid w:val="45941A70"/>
    <w:rsid w:val="45AB388D"/>
    <w:rsid w:val="45CA13BF"/>
    <w:rsid w:val="462B4901"/>
    <w:rsid w:val="46331171"/>
    <w:rsid w:val="463B50AD"/>
    <w:rsid w:val="463E4E32"/>
    <w:rsid w:val="464E5266"/>
    <w:rsid w:val="46545AF7"/>
    <w:rsid w:val="469045BC"/>
    <w:rsid w:val="46D509C3"/>
    <w:rsid w:val="46E56A5F"/>
    <w:rsid w:val="46E85AC2"/>
    <w:rsid w:val="47053A69"/>
    <w:rsid w:val="471F65D8"/>
    <w:rsid w:val="472C2441"/>
    <w:rsid w:val="476A10AC"/>
    <w:rsid w:val="47AF1DD1"/>
    <w:rsid w:val="482573EB"/>
    <w:rsid w:val="48462082"/>
    <w:rsid w:val="486E776D"/>
    <w:rsid w:val="487B7DFA"/>
    <w:rsid w:val="488A1A0D"/>
    <w:rsid w:val="48C5247C"/>
    <w:rsid w:val="48FC62D0"/>
    <w:rsid w:val="490C72E0"/>
    <w:rsid w:val="491B1D69"/>
    <w:rsid w:val="4921166D"/>
    <w:rsid w:val="492D458E"/>
    <w:rsid w:val="49444A58"/>
    <w:rsid w:val="495B1666"/>
    <w:rsid w:val="49B128B8"/>
    <w:rsid w:val="49E74ACD"/>
    <w:rsid w:val="49E770E5"/>
    <w:rsid w:val="49E97FD0"/>
    <w:rsid w:val="4A154318"/>
    <w:rsid w:val="4A3831D6"/>
    <w:rsid w:val="4A5C2893"/>
    <w:rsid w:val="4A68672F"/>
    <w:rsid w:val="4A96396C"/>
    <w:rsid w:val="4A9C4A90"/>
    <w:rsid w:val="4AB30D1E"/>
    <w:rsid w:val="4AB43F7A"/>
    <w:rsid w:val="4ACA50C0"/>
    <w:rsid w:val="4AEF4E27"/>
    <w:rsid w:val="4B076C12"/>
    <w:rsid w:val="4B1E03CD"/>
    <w:rsid w:val="4B221D0C"/>
    <w:rsid w:val="4B300BB4"/>
    <w:rsid w:val="4B5C7EB2"/>
    <w:rsid w:val="4B625364"/>
    <w:rsid w:val="4BB17792"/>
    <w:rsid w:val="4BBE2241"/>
    <w:rsid w:val="4BC73AF1"/>
    <w:rsid w:val="4C0515C4"/>
    <w:rsid w:val="4C4423AE"/>
    <w:rsid w:val="4C6251E1"/>
    <w:rsid w:val="4C681932"/>
    <w:rsid w:val="4C862E17"/>
    <w:rsid w:val="4C910DAC"/>
    <w:rsid w:val="4CE253AA"/>
    <w:rsid w:val="4CE3752D"/>
    <w:rsid w:val="4CFD094D"/>
    <w:rsid w:val="4D0939D5"/>
    <w:rsid w:val="4D6420F9"/>
    <w:rsid w:val="4D6B5B48"/>
    <w:rsid w:val="4DDC321D"/>
    <w:rsid w:val="4DEA6AA2"/>
    <w:rsid w:val="4E126B97"/>
    <w:rsid w:val="4E4D620A"/>
    <w:rsid w:val="4E861663"/>
    <w:rsid w:val="4EAC69C1"/>
    <w:rsid w:val="4EC21909"/>
    <w:rsid w:val="4EDA586A"/>
    <w:rsid w:val="4EE41888"/>
    <w:rsid w:val="4EFD2F43"/>
    <w:rsid w:val="4F0F1315"/>
    <w:rsid w:val="4F2E6192"/>
    <w:rsid w:val="4F3F3AB0"/>
    <w:rsid w:val="4F5819BC"/>
    <w:rsid w:val="4F8E4414"/>
    <w:rsid w:val="4FA45D92"/>
    <w:rsid w:val="4FAD5ABE"/>
    <w:rsid w:val="4FB27454"/>
    <w:rsid w:val="4FF83AC3"/>
    <w:rsid w:val="50095F5C"/>
    <w:rsid w:val="506A2AFE"/>
    <w:rsid w:val="50836D3A"/>
    <w:rsid w:val="50A84B61"/>
    <w:rsid w:val="50C80BF1"/>
    <w:rsid w:val="50D46582"/>
    <w:rsid w:val="51165973"/>
    <w:rsid w:val="51473C5A"/>
    <w:rsid w:val="515C5909"/>
    <w:rsid w:val="51CA36F3"/>
    <w:rsid w:val="51D90756"/>
    <w:rsid w:val="51F103FA"/>
    <w:rsid w:val="527F50A6"/>
    <w:rsid w:val="52CB3561"/>
    <w:rsid w:val="52D41FF3"/>
    <w:rsid w:val="52D91433"/>
    <w:rsid w:val="530155E7"/>
    <w:rsid w:val="53275E79"/>
    <w:rsid w:val="53404825"/>
    <w:rsid w:val="53546608"/>
    <w:rsid w:val="53917AA7"/>
    <w:rsid w:val="53A70F92"/>
    <w:rsid w:val="53BF5572"/>
    <w:rsid w:val="53EC02A1"/>
    <w:rsid w:val="540248E3"/>
    <w:rsid w:val="544F6906"/>
    <w:rsid w:val="5456436D"/>
    <w:rsid w:val="546B5460"/>
    <w:rsid w:val="54CB4732"/>
    <w:rsid w:val="5504377C"/>
    <w:rsid w:val="55193518"/>
    <w:rsid w:val="55482300"/>
    <w:rsid w:val="55842283"/>
    <w:rsid w:val="55847A7A"/>
    <w:rsid w:val="55A64808"/>
    <w:rsid w:val="55A96A8C"/>
    <w:rsid w:val="56434441"/>
    <w:rsid w:val="564C5721"/>
    <w:rsid w:val="565902BA"/>
    <w:rsid w:val="56691A1A"/>
    <w:rsid w:val="567459BC"/>
    <w:rsid w:val="56B7109B"/>
    <w:rsid w:val="56CE4726"/>
    <w:rsid w:val="57362E0A"/>
    <w:rsid w:val="573F7EAC"/>
    <w:rsid w:val="5778485F"/>
    <w:rsid w:val="57952240"/>
    <w:rsid w:val="579569BD"/>
    <w:rsid w:val="57BA117B"/>
    <w:rsid w:val="57E60AD3"/>
    <w:rsid w:val="5817778A"/>
    <w:rsid w:val="58231C78"/>
    <w:rsid w:val="58517CF1"/>
    <w:rsid w:val="58523252"/>
    <w:rsid w:val="58587D80"/>
    <w:rsid w:val="586B2C6F"/>
    <w:rsid w:val="587D49B7"/>
    <w:rsid w:val="588562C6"/>
    <w:rsid w:val="58886C30"/>
    <w:rsid w:val="58C106A9"/>
    <w:rsid w:val="58C75E36"/>
    <w:rsid w:val="58D64DCB"/>
    <w:rsid w:val="58F5279F"/>
    <w:rsid w:val="590F1AAD"/>
    <w:rsid w:val="5940002C"/>
    <w:rsid w:val="594B060D"/>
    <w:rsid w:val="59774954"/>
    <w:rsid w:val="597E6792"/>
    <w:rsid w:val="59C3610F"/>
    <w:rsid w:val="59CC1E60"/>
    <w:rsid w:val="59F85803"/>
    <w:rsid w:val="5A016DE3"/>
    <w:rsid w:val="5A1225D4"/>
    <w:rsid w:val="5A4178A0"/>
    <w:rsid w:val="5A557CBB"/>
    <w:rsid w:val="5A6279C1"/>
    <w:rsid w:val="5A8524F1"/>
    <w:rsid w:val="5A9F56BB"/>
    <w:rsid w:val="5AC45405"/>
    <w:rsid w:val="5AD36681"/>
    <w:rsid w:val="5AE55F50"/>
    <w:rsid w:val="5B01445B"/>
    <w:rsid w:val="5B0B3250"/>
    <w:rsid w:val="5B4B7D53"/>
    <w:rsid w:val="5B956ECD"/>
    <w:rsid w:val="5BB005E7"/>
    <w:rsid w:val="5C1C12D8"/>
    <w:rsid w:val="5C464AF3"/>
    <w:rsid w:val="5C6C1138"/>
    <w:rsid w:val="5C813653"/>
    <w:rsid w:val="5C9B6887"/>
    <w:rsid w:val="5CC52A0E"/>
    <w:rsid w:val="5CCF2A0A"/>
    <w:rsid w:val="5CF466B8"/>
    <w:rsid w:val="5CFE10FD"/>
    <w:rsid w:val="5CFF1693"/>
    <w:rsid w:val="5D1345BE"/>
    <w:rsid w:val="5D6121B1"/>
    <w:rsid w:val="5DAC51AB"/>
    <w:rsid w:val="5DB8393B"/>
    <w:rsid w:val="5DB87C47"/>
    <w:rsid w:val="5E097E62"/>
    <w:rsid w:val="5E19466D"/>
    <w:rsid w:val="5E566F9F"/>
    <w:rsid w:val="5E6D0CBD"/>
    <w:rsid w:val="5E8D26AE"/>
    <w:rsid w:val="5EC07B7E"/>
    <w:rsid w:val="5F172B56"/>
    <w:rsid w:val="5F526256"/>
    <w:rsid w:val="5F7B475E"/>
    <w:rsid w:val="5F8913CC"/>
    <w:rsid w:val="5F964E5F"/>
    <w:rsid w:val="5FBD7995"/>
    <w:rsid w:val="5FC24A29"/>
    <w:rsid w:val="5FCA1E36"/>
    <w:rsid w:val="5FF81680"/>
    <w:rsid w:val="600118F0"/>
    <w:rsid w:val="60530A95"/>
    <w:rsid w:val="606D7DA0"/>
    <w:rsid w:val="608A69F1"/>
    <w:rsid w:val="609C218E"/>
    <w:rsid w:val="60AB49A7"/>
    <w:rsid w:val="611E7F6E"/>
    <w:rsid w:val="61270136"/>
    <w:rsid w:val="61293C2F"/>
    <w:rsid w:val="61AC1EF1"/>
    <w:rsid w:val="61C14F0C"/>
    <w:rsid w:val="61C86CA3"/>
    <w:rsid w:val="61FD68D2"/>
    <w:rsid w:val="623801B3"/>
    <w:rsid w:val="62631AFA"/>
    <w:rsid w:val="62A57FE5"/>
    <w:rsid w:val="62C44733"/>
    <w:rsid w:val="62F675F7"/>
    <w:rsid w:val="63242E5B"/>
    <w:rsid w:val="63483071"/>
    <w:rsid w:val="63976673"/>
    <w:rsid w:val="646C7950"/>
    <w:rsid w:val="648C22EA"/>
    <w:rsid w:val="64990DAE"/>
    <w:rsid w:val="64C00563"/>
    <w:rsid w:val="64C14D33"/>
    <w:rsid w:val="64D571D1"/>
    <w:rsid w:val="65011646"/>
    <w:rsid w:val="654C6FBE"/>
    <w:rsid w:val="656159AD"/>
    <w:rsid w:val="656C74F3"/>
    <w:rsid w:val="657F6514"/>
    <w:rsid w:val="65A83D81"/>
    <w:rsid w:val="65EF15EA"/>
    <w:rsid w:val="65F56152"/>
    <w:rsid w:val="663D637D"/>
    <w:rsid w:val="66445773"/>
    <w:rsid w:val="664571D6"/>
    <w:rsid w:val="66576F78"/>
    <w:rsid w:val="66AA497C"/>
    <w:rsid w:val="66D01339"/>
    <w:rsid w:val="66D276B8"/>
    <w:rsid w:val="66F53062"/>
    <w:rsid w:val="671D116D"/>
    <w:rsid w:val="675773BD"/>
    <w:rsid w:val="67953CB1"/>
    <w:rsid w:val="679909C4"/>
    <w:rsid w:val="67B01CAC"/>
    <w:rsid w:val="67FE3778"/>
    <w:rsid w:val="68273139"/>
    <w:rsid w:val="68500530"/>
    <w:rsid w:val="68911362"/>
    <w:rsid w:val="689E0944"/>
    <w:rsid w:val="68A4383E"/>
    <w:rsid w:val="68C2052A"/>
    <w:rsid w:val="68D27805"/>
    <w:rsid w:val="694B4013"/>
    <w:rsid w:val="69694880"/>
    <w:rsid w:val="6972117B"/>
    <w:rsid w:val="698A3057"/>
    <w:rsid w:val="69DB1B35"/>
    <w:rsid w:val="69F11452"/>
    <w:rsid w:val="69FA19C4"/>
    <w:rsid w:val="6A2B29E0"/>
    <w:rsid w:val="6A4C28F4"/>
    <w:rsid w:val="6A4F1D60"/>
    <w:rsid w:val="6AB132E9"/>
    <w:rsid w:val="6AC15AEC"/>
    <w:rsid w:val="6AE514C5"/>
    <w:rsid w:val="6AEC4C89"/>
    <w:rsid w:val="6AF45337"/>
    <w:rsid w:val="6AF71CAD"/>
    <w:rsid w:val="6B6320BC"/>
    <w:rsid w:val="6B6C23A0"/>
    <w:rsid w:val="6B6D30FE"/>
    <w:rsid w:val="6B75365C"/>
    <w:rsid w:val="6BC038C2"/>
    <w:rsid w:val="6C1726E4"/>
    <w:rsid w:val="6CA404CA"/>
    <w:rsid w:val="6CC27A7A"/>
    <w:rsid w:val="6CCE4C58"/>
    <w:rsid w:val="6CD12293"/>
    <w:rsid w:val="6CD326FA"/>
    <w:rsid w:val="6CD53018"/>
    <w:rsid w:val="6D232AC5"/>
    <w:rsid w:val="6D394CE1"/>
    <w:rsid w:val="6D3A4E51"/>
    <w:rsid w:val="6D616C89"/>
    <w:rsid w:val="6D771036"/>
    <w:rsid w:val="6D7C5B17"/>
    <w:rsid w:val="6D9F34B9"/>
    <w:rsid w:val="6DB22C06"/>
    <w:rsid w:val="6DBD6A19"/>
    <w:rsid w:val="6E0F277A"/>
    <w:rsid w:val="6E565912"/>
    <w:rsid w:val="6E743C52"/>
    <w:rsid w:val="6E80205A"/>
    <w:rsid w:val="6EA0700B"/>
    <w:rsid w:val="6EA35A11"/>
    <w:rsid w:val="6EA44515"/>
    <w:rsid w:val="6ECB7B7B"/>
    <w:rsid w:val="6EE3378C"/>
    <w:rsid w:val="6EE7187D"/>
    <w:rsid w:val="6F080FB9"/>
    <w:rsid w:val="6F0F4163"/>
    <w:rsid w:val="6F45380D"/>
    <w:rsid w:val="6F536FAB"/>
    <w:rsid w:val="6F607449"/>
    <w:rsid w:val="6F9A4CA5"/>
    <w:rsid w:val="6FB239C9"/>
    <w:rsid w:val="6FB4075B"/>
    <w:rsid w:val="6FC62C4E"/>
    <w:rsid w:val="6FC727B8"/>
    <w:rsid w:val="6FF808C2"/>
    <w:rsid w:val="70120AF9"/>
    <w:rsid w:val="70850009"/>
    <w:rsid w:val="708625DD"/>
    <w:rsid w:val="708924C9"/>
    <w:rsid w:val="70B633F7"/>
    <w:rsid w:val="716F71A9"/>
    <w:rsid w:val="71841490"/>
    <w:rsid w:val="71DB4C85"/>
    <w:rsid w:val="71DC5DF7"/>
    <w:rsid w:val="71FB480F"/>
    <w:rsid w:val="72031C1B"/>
    <w:rsid w:val="72094B9E"/>
    <w:rsid w:val="7220374A"/>
    <w:rsid w:val="72396810"/>
    <w:rsid w:val="723F61FD"/>
    <w:rsid w:val="72460EA3"/>
    <w:rsid w:val="72B95EC7"/>
    <w:rsid w:val="72CE43BD"/>
    <w:rsid w:val="72F2770D"/>
    <w:rsid w:val="73206B70"/>
    <w:rsid w:val="73283F7C"/>
    <w:rsid w:val="732F2D09"/>
    <w:rsid w:val="73353D81"/>
    <w:rsid w:val="73501C8E"/>
    <w:rsid w:val="7362505B"/>
    <w:rsid w:val="73776E30"/>
    <w:rsid w:val="73F50523"/>
    <w:rsid w:val="742E508B"/>
    <w:rsid w:val="745548BC"/>
    <w:rsid w:val="74C1353B"/>
    <w:rsid w:val="751524A3"/>
    <w:rsid w:val="751D452A"/>
    <w:rsid w:val="75507C28"/>
    <w:rsid w:val="75B00123"/>
    <w:rsid w:val="75EC400E"/>
    <w:rsid w:val="760A4A79"/>
    <w:rsid w:val="763F6D05"/>
    <w:rsid w:val="764C3824"/>
    <w:rsid w:val="76C46BE6"/>
    <w:rsid w:val="76F01837"/>
    <w:rsid w:val="770B595E"/>
    <w:rsid w:val="771C4E1E"/>
    <w:rsid w:val="771D5670"/>
    <w:rsid w:val="7738675F"/>
    <w:rsid w:val="776564EF"/>
    <w:rsid w:val="777E1618"/>
    <w:rsid w:val="77826259"/>
    <w:rsid w:val="77835A9F"/>
    <w:rsid w:val="778E18B2"/>
    <w:rsid w:val="77CB1717"/>
    <w:rsid w:val="77D52026"/>
    <w:rsid w:val="781B279B"/>
    <w:rsid w:val="786546F5"/>
    <w:rsid w:val="788758AB"/>
    <w:rsid w:val="78925C5D"/>
    <w:rsid w:val="78C86137"/>
    <w:rsid w:val="78D46D79"/>
    <w:rsid w:val="78F8392B"/>
    <w:rsid w:val="790B5926"/>
    <w:rsid w:val="791C7DBF"/>
    <w:rsid w:val="797161CD"/>
    <w:rsid w:val="79A66ACD"/>
    <w:rsid w:val="79AB54F3"/>
    <w:rsid w:val="79AE2A4F"/>
    <w:rsid w:val="79B054AB"/>
    <w:rsid w:val="79E922C5"/>
    <w:rsid w:val="79EE19F7"/>
    <w:rsid w:val="79F0361A"/>
    <w:rsid w:val="79FA7077"/>
    <w:rsid w:val="79FC2CB0"/>
    <w:rsid w:val="79FF03B2"/>
    <w:rsid w:val="7A1571FA"/>
    <w:rsid w:val="7A4B0019"/>
    <w:rsid w:val="7A802A6B"/>
    <w:rsid w:val="7A8225DC"/>
    <w:rsid w:val="7ABE519A"/>
    <w:rsid w:val="7ADD04E2"/>
    <w:rsid w:val="7B0E240F"/>
    <w:rsid w:val="7B166C80"/>
    <w:rsid w:val="7B8956F5"/>
    <w:rsid w:val="7B905FFE"/>
    <w:rsid w:val="7BE505D2"/>
    <w:rsid w:val="7C122E07"/>
    <w:rsid w:val="7C2D6DC6"/>
    <w:rsid w:val="7C3670D8"/>
    <w:rsid w:val="7C3B5ED9"/>
    <w:rsid w:val="7C77117A"/>
    <w:rsid w:val="7CAD6D69"/>
    <w:rsid w:val="7CFB33BA"/>
    <w:rsid w:val="7D75217C"/>
    <w:rsid w:val="7DAE5640"/>
    <w:rsid w:val="7DDC4E8A"/>
    <w:rsid w:val="7DDF4311"/>
    <w:rsid w:val="7DFC793D"/>
    <w:rsid w:val="7E01111B"/>
    <w:rsid w:val="7E025A70"/>
    <w:rsid w:val="7E173813"/>
    <w:rsid w:val="7E230E82"/>
    <w:rsid w:val="7E2B06FB"/>
    <w:rsid w:val="7E607661"/>
    <w:rsid w:val="7EB119EA"/>
    <w:rsid w:val="7EBE4021"/>
    <w:rsid w:val="7ECE7C95"/>
    <w:rsid w:val="7F2C1334"/>
    <w:rsid w:val="7F350893"/>
    <w:rsid w:val="7F3C6183"/>
    <w:rsid w:val="7F5A3601"/>
    <w:rsid w:val="7F651F26"/>
    <w:rsid w:val="7F831D43"/>
    <w:rsid w:val="7FB8479B"/>
    <w:rsid w:val="7FD44FC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0"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iPriority="0" w:name="footnote reference"/>
    <w:lsdException w:uiPriority="99" w:name="annotation reference"/>
    <w:lsdException w:uiPriority="99" w:name="line number"/>
    <w:lsdException w:qFormat="1" w:unhideWhenUsed="0" w:uiPriority="0" w:semiHidden="0" w:name="page number"/>
    <w:lsdException w:qFormat="1" w:unhideWhenUsed="0" w:uiPriority="99" w:semiHidden="0"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qFormat="1" w:uiPriority="0"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paragraph" w:styleId="2">
    <w:name w:val="heading 1"/>
    <w:basedOn w:val="1"/>
    <w:link w:val="39"/>
    <w:qFormat/>
    <w:uiPriority w:val="9"/>
    <w:pPr>
      <w:spacing w:before="480"/>
      <w:outlineLvl w:val="0"/>
    </w:pPr>
    <w:rPr>
      <w:b/>
      <w:bCs/>
      <w:sz w:val="28"/>
      <w:szCs w:val="28"/>
      <w:lang w:eastAsia="ja-JP"/>
    </w:rPr>
  </w:style>
  <w:style w:type="paragraph" w:styleId="3">
    <w:name w:val="heading 2"/>
    <w:basedOn w:val="1"/>
    <w:link w:val="51"/>
    <w:unhideWhenUsed/>
    <w:qFormat/>
    <w:uiPriority w:val="9"/>
    <w:pPr>
      <w:outlineLvl w:val="1"/>
    </w:pPr>
    <w:rPr>
      <w:color w:val="2E75B6" w:themeColor="accent1" w:themeShade="BF"/>
      <w:sz w:val="26"/>
      <w:szCs w:val="26"/>
    </w:rPr>
  </w:style>
  <w:style w:type="paragraph" w:styleId="4">
    <w:name w:val="heading 3"/>
    <w:basedOn w:val="1"/>
    <w:link w:val="40"/>
    <w:unhideWhenUsed/>
    <w:qFormat/>
    <w:uiPriority w:val="9"/>
    <w:pPr>
      <w:keepNext/>
      <w:keepLines/>
      <w:spacing w:before="40" w:after="0" w:line="259" w:lineRule="auto"/>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72"/>
    <w:autoRedefine/>
    <w:unhideWhenUsed/>
    <w:qFormat/>
    <w:uiPriority w:val="9"/>
    <w:pPr>
      <w:keepNext/>
      <w:keepLines/>
      <w:spacing w:before="40" w:after="0" w:line="360" w:lineRule="auto"/>
      <w:ind w:left="864" w:hanging="864"/>
      <w:outlineLvl w:val="3"/>
    </w:pPr>
    <w:rPr>
      <w:rFonts w:ascii="Times New Roman" w:hAnsi="Times New Roman" w:eastAsia="Times New Roman" w:cs="Times New Roman"/>
      <w:i/>
      <w:iCs/>
      <w:sz w:val="24"/>
    </w:rPr>
  </w:style>
  <w:style w:type="paragraph" w:styleId="6">
    <w:name w:val="heading 5"/>
    <w:basedOn w:val="1"/>
    <w:next w:val="1"/>
    <w:link w:val="73"/>
    <w:qFormat/>
    <w:uiPriority w:val="9"/>
    <w:pPr>
      <w:spacing w:before="240" w:after="60"/>
      <w:outlineLvl w:val="4"/>
    </w:pPr>
    <w:rPr>
      <w:rFonts w:ascii="Calibri" w:hAnsi="Calibri" w:eastAsia="Times New Roman" w:cs="Times New Roman"/>
      <w:b/>
      <w:bCs/>
      <w:i/>
      <w:iCs/>
      <w:sz w:val="26"/>
      <w:szCs w:val="26"/>
    </w:rPr>
  </w:style>
  <w:style w:type="paragraph" w:styleId="7">
    <w:name w:val="heading 6"/>
    <w:basedOn w:val="1"/>
    <w:next w:val="1"/>
    <w:link w:val="74"/>
    <w:semiHidden/>
    <w:unhideWhenUsed/>
    <w:qFormat/>
    <w:uiPriority w:val="9"/>
    <w:pPr>
      <w:keepNext/>
      <w:keepLines/>
      <w:spacing w:before="40" w:after="0" w:line="360" w:lineRule="auto"/>
      <w:ind w:left="1152" w:hanging="1152"/>
      <w:outlineLvl w:val="5"/>
    </w:pPr>
    <w:rPr>
      <w:rFonts w:ascii="Calibri Light" w:hAnsi="Calibri Light" w:eastAsia="Times New Roman" w:cs="Times New Roman"/>
      <w:color w:val="1F3763"/>
      <w:sz w:val="24"/>
    </w:rPr>
  </w:style>
  <w:style w:type="paragraph" w:styleId="8">
    <w:name w:val="heading 7"/>
    <w:basedOn w:val="1"/>
    <w:next w:val="1"/>
    <w:link w:val="75"/>
    <w:semiHidden/>
    <w:unhideWhenUsed/>
    <w:qFormat/>
    <w:uiPriority w:val="9"/>
    <w:pPr>
      <w:keepNext/>
      <w:keepLines/>
      <w:spacing w:before="40" w:after="0" w:line="360" w:lineRule="auto"/>
      <w:ind w:left="1296" w:hanging="1296"/>
      <w:outlineLvl w:val="6"/>
    </w:pPr>
    <w:rPr>
      <w:rFonts w:ascii="Calibri Light" w:hAnsi="Calibri Light" w:eastAsia="Times New Roman" w:cs="Times New Roman"/>
      <w:i/>
      <w:iCs/>
      <w:color w:val="1F3763"/>
      <w:sz w:val="24"/>
    </w:rPr>
  </w:style>
  <w:style w:type="paragraph" w:styleId="9">
    <w:name w:val="heading 8"/>
    <w:basedOn w:val="1"/>
    <w:next w:val="1"/>
    <w:link w:val="76"/>
    <w:semiHidden/>
    <w:unhideWhenUsed/>
    <w:qFormat/>
    <w:uiPriority w:val="9"/>
    <w:pPr>
      <w:keepNext/>
      <w:keepLines/>
      <w:spacing w:before="40" w:after="0" w:line="360" w:lineRule="auto"/>
      <w:ind w:left="1440" w:hanging="1440"/>
      <w:outlineLvl w:val="7"/>
    </w:pPr>
    <w:rPr>
      <w:rFonts w:ascii="Calibri Light" w:hAnsi="Calibri Light" w:eastAsia="Times New Roman" w:cs="Times New Roman"/>
      <w:color w:val="272727"/>
      <w:sz w:val="21"/>
      <w:szCs w:val="21"/>
    </w:rPr>
  </w:style>
  <w:style w:type="paragraph" w:styleId="10">
    <w:name w:val="heading 9"/>
    <w:basedOn w:val="1"/>
    <w:next w:val="1"/>
    <w:link w:val="77"/>
    <w:semiHidden/>
    <w:unhideWhenUsed/>
    <w:qFormat/>
    <w:uiPriority w:val="9"/>
    <w:pPr>
      <w:keepNext/>
      <w:keepLines/>
      <w:spacing w:before="40" w:after="0" w:line="360" w:lineRule="auto"/>
      <w:ind w:left="1584" w:hanging="1584"/>
      <w:outlineLvl w:val="8"/>
    </w:pPr>
    <w:rPr>
      <w:rFonts w:ascii="Calibri Light" w:hAnsi="Calibri Light" w:eastAsia="Times New Roman" w:cs="Times New Roman"/>
      <w:i/>
      <w:iCs/>
      <w:color w:val="272727"/>
      <w:sz w:val="21"/>
      <w:szCs w:val="21"/>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43"/>
    <w:semiHidden/>
    <w:unhideWhenUsed/>
    <w:qFormat/>
    <w:uiPriority w:val="99"/>
    <w:pPr>
      <w:spacing w:after="0" w:line="240" w:lineRule="auto"/>
    </w:pPr>
    <w:rPr>
      <w:rFonts w:ascii="Tahoma" w:hAnsi="Tahoma" w:cs="Tahoma"/>
      <w:sz w:val="16"/>
      <w:szCs w:val="16"/>
    </w:rPr>
  </w:style>
  <w:style w:type="paragraph" w:styleId="14">
    <w:name w:val="Body Text"/>
    <w:basedOn w:val="1"/>
    <w:link w:val="64"/>
    <w:unhideWhenUsed/>
    <w:qFormat/>
    <w:uiPriority w:val="1"/>
    <w:pPr>
      <w:spacing w:after="120"/>
    </w:pPr>
    <w:rPr>
      <w:rFonts w:asciiTheme="majorBidi" w:hAnsiTheme="majorBidi" w:eastAsiaTheme="minorEastAsia"/>
      <w:sz w:val="24"/>
    </w:rPr>
  </w:style>
  <w:style w:type="paragraph" w:styleId="15">
    <w:name w:val="caption"/>
    <w:basedOn w:val="1"/>
    <w:next w:val="1"/>
    <w:unhideWhenUsed/>
    <w:qFormat/>
    <w:uiPriority w:val="35"/>
    <w:pPr>
      <w:spacing w:line="240" w:lineRule="auto"/>
    </w:pPr>
    <w:rPr>
      <w:i/>
      <w:iCs/>
      <w:color w:val="44546A" w:themeColor="text2"/>
      <w:sz w:val="18"/>
      <w:szCs w:val="18"/>
      <w14:textFill>
        <w14:solidFill>
          <w14:schemeClr w14:val="tx2"/>
        </w14:solidFill>
      </w14:textFill>
    </w:rPr>
  </w:style>
  <w:style w:type="paragraph" w:styleId="16">
    <w:name w:val="annotation text"/>
    <w:basedOn w:val="1"/>
    <w:link w:val="58"/>
    <w:semiHidden/>
    <w:unhideWhenUsed/>
    <w:qFormat/>
    <w:uiPriority w:val="99"/>
    <w:pPr>
      <w:suppressAutoHyphens/>
      <w:spacing w:beforeAutospacing="1" w:after="0" w:afterAutospacing="1" w:line="240" w:lineRule="auto"/>
      <w:ind w:firstLine="720"/>
      <w:jc w:val="both"/>
    </w:pPr>
    <w:rPr>
      <w:rFonts w:ascii="Times New Roman" w:hAnsi="Times New Roman" w:eastAsia="Calibri"/>
      <w:color w:val="000000" w:themeColor="text1"/>
      <w:sz w:val="20"/>
      <w:szCs w:val="20"/>
      <w14:textFill>
        <w14:solidFill>
          <w14:schemeClr w14:val="tx1"/>
        </w14:solidFill>
      </w14:textFill>
    </w:rPr>
  </w:style>
  <w:style w:type="character" w:styleId="17">
    <w:name w:val="Emphasis"/>
    <w:basedOn w:val="11"/>
    <w:qFormat/>
    <w:uiPriority w:val="20"/>
    <w:rPr>
      <w:i/>
      <w:iCs/>
    </w:rPr>
  </w:style>
  <w:style w:type="character" w:styleId="18">
    <w:name w:val="endnote reference"/>
    <w:qFormat/>
    <w:uiPriority w:val="99"/>
    <w:rPr>
      <w:vertAlign w:val="superscript"/>
    </w:rPr>
  </w:style>
  <w:style w:type="paragraph" w:styleId="19">
    <w:name w:val="endnote text"/>
    <w:basedOn w:val="1"/>
    <w:link w:val="79"/>
    <w:semiHidden/>
    <w:unhideWhenUsed/>
    <w:qFormat/>
    <w:uiPriority w:val="99"/>
    <w:rPr>
      <w:rFonts w:ascii="Calibri" w:hAnsi="Calibri" w:eastAsia="Times New Roman" w:cs="Times New Roman"/>
      <w:sz w:val="20"/>
      <w:szCs w:val="20"/>
    </w:rPr>
  </w:style>
  <w:style w:type="character" w:styleId="20">
    <w:name w:val="FollowedHyperlink"/>
    <w:basedOn w:val="11"/>
    <w:semiHidden/>
    <w:unhideWhenUsed/>
    <w:qFormat/>
    <w:uiPriority w:val="99"/>
    <w:rPr>
      <w:color w:val="954F72" w:themeColor="followedHyperlink"/>
      <w:u w:val="single"/>
      <w14:textFill>
        <w14:solidFill>
          <w14:schemeClr w14:val="folHlink"/>
        </w14:solidFill>
      </w14:textFill>
    </w:rPr>
  </w:style>
  <w:style w:type="paragraph" w:styleId="21">
    <w:name w:val="footer"/>
    <w:basedOn w:val="1"/>
    <w:link w:val="42"/>
    <w:unhideWhenUsed/>
    <w:qFormat/>
    <w:uiPriority w:val="99"/>
    <w:pPr>
      <w:tabs>
        <w:tab w:val="center" w:pos="4680"/>
        <w:tab w:val="right" w:pos="9360"/>
      </w:tabs>
      <w:spacing w:after="0" w:line="240" w:lineRule="auto"/>
    </w:pPr>
  </w:style>
  <w:style w:type="character" w:styleId="22">
    <w:name w:val="footnote reference"/>
    <w:basedOn w:val="11"/>
    <w:semiHidden/>
    <w:unhideWhenUsed/>
    <w:qFormat/>
    <w:uiPriority w:val="0"/>
    <w:rPr>
      <w:vertAlign w:val="superscript"/>
    </w:rPr>
  </w:style>
  <w:style w:type="paragraph" w:styleId="23">
    <w:name w:val="footnote text"/>
    <w:basedOn w:val="1"/>
    <w:link w:val="44"/>
    <w:semiHidden/>
    <w:unhideWhenUsed/>
    <w:qFormat/>
    <w:uiPriority w:val="0"/>
    <w:pPr>
      <w:spacing w:after="0" w:line="240" w:lineRule="auto"/>
    </w:pPr>
    <w:rPr>
      <w:sz w:val="20"/>
      <w:szCs w:val="20"/>
    </w:rPr>
  </w:style>
  <w:style w:type="paragraph" w:styleId="24">
    <w:name w:val="header"/>
    <w:basedOn w:val="1"/>
    <w:link w:val="41"/>
    <w:unhideWhenUsed/>
    <w:qFormat/>
    <w:uiPriority w:val="99"/>
    <w:pPr>
      <w:tabs>
        <w:tab w:val="center" w:pos="4680"/>
        <w:tab w:val="right" w:pos="9360"/>
      </w:tabs>
      <w:spacing w:after="0" w:line="240" w:lineRule="auto"/>
    </w:pPr>
  </w:style>
  <w:style w:type="character" w:styleId="25">
    <w:name w:val="Hyperlink"/>
    <w:basedOn w:val="11"/>
    <w:unhideWhenUsed/>
    <w:qFormat/>
    <w:uiPriority w:val="99"/>
    <w:rPr>
      <w:color w:val="0000FF"/>
      <w:u w:val="single"/>
    </w:rPr>
  </w:style>
  <w:style w:type="paragraph" w:styleId="26">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styleId="27">
    <w:name w:val="page number"/>
    <w:basedOn w:val="11"/>
    <w:qFormat/>
    <w:uiPriority w:val="0"/>
  </w:style>
  <w:style w:type="character" w:styleId="28">
    <w:name w:val="Strong"/>
    <w:basedOn w:val="11"/>
    <w:qFormat/>
    <w:uiPriority w:val="22"/>
    <w:rPr>
      <w:b/>
      <w:bCs/>
    </w:rPr>
  </w:style>
  <w:style w:type="paragraph" w:styleId="29">
    <w:name w:val="Subtitle"/>
    <w:basedOn w:val="1"/>
    <w:link w:val="78"/>
    <w:qFormat/>
    <w:uiPriority w:val="0"/>
    <w:pPr>
      <w:spacing w:after="0" w:line="240" w:lineRule="auto"/>
      <w:jc w:val="center"/>
      <w:outlineLvl w:val="0"/>
    </w:pPr>
    <w:rPr>
      <w:rFonts w:ascii="Times New Roman" w:hAnsi="Times New Roman" w:eastAsia="Times New Roman" w:cs="Times New Roman"/>
      <w:b/>
      <w:sz w:val="36"/>
      <w:szCs w:val="24"/>
      <w:u w:val="single"/>
      <w:lang w:val="en-GB"/>
    </w:rPr>
  </w:style>
  <w:style w:type="table" w:styleId="30">
    <w:name w:val="Table Columns 1"/>
    <w:basedOn w:val="12"/>
    <w:semiHidden/>
    <w:unhideWhenUsed/>
    <w:qFormat/>
    <w:uiPriority w:val="0"/>
    <w:rPr>
      <w:rFonts w:eastAsia="Times New Roman"/>
      <w:b/>
      <w:bCs/>
      <w:lang w:val="en-GB" w:eastAsia="en-GB" w:bidi="ur-PK"/>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31">
    <w:name w:val="Table Grid"/>
    <w:basedOn w:val="12"/>
    <w:qFormat/>
    <w:uiPriority w:val="39"/>
    <w:rPr>
      <w:color w:val="000000" w:themeColor="text1"/>
      <w:sz w:val="24"/>
      <w:szCs w:val="24"/>
      <w14:textFill>
        <w14:solidFill>
          <w14:schemeClr w14:val="tx1"/>
        </w14:solidFill>
      </w14:textFil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32">
    <w:name w:val="Title"/>
    <w:basedOn w:val="1"/>
    <w:next w:val="1"/>
    <w:link w:val="71"/>
    <w:qFormat/>
    <w:uiPriority w:val="10"/>
    <w:pPr>
      <w:spacing w:after="0" w:line="240" w:lineRule="auto"/>
      <w:jc w:val="center"/>
    </w:pPr>
    <w:rPr>
      <w:rFonts w:ascii="Times New Roman" w:hAnsi="Times New Roman" w:eastAsia="PMingLiU" w:cs="Times New Roman"/>
      <w:b/>
      <w:sz w:val="28"/>
      <w:szCs w:val="20"/>
      <w:lang w:eastAsia="zh-TW"/>
    </w:rPr>
  </w:style>
  <w:style w:type="paragraph" w:styleId="33">
    <w:name w:val="toc 1"/>
    <w:basedOn w:val="1"/>
    <w:next w:val="1"/>
    <w:autoRedefine/>
    <w:unhideWhenUsed/>
    <w:qFormat/>
    <w:uiPriority w:val="39"/>
    <w:pPr>
      <w:spacing w:after="100" w:line="480" w:lineRule="auto"/>
      <w:ind w:firstLine="720"/>
      <w:jc w:val="both"/>
    </w:pPr>
    <w:rPr>
      <w:lang w:val="en-GB"/>
    </w:rPr>
  </w:style>
  <w:style w:type="paragraph" w:styleId="34">
    <w:name w:val="toc 2"/>
    <w:basedOn w:val="1"/>
    <w:next w:val="1"/>
    <w:autoRedefine/>
    <w:unhideWhenUsed/>
    <w:qFormat/>
    <w:uiPriority w:val="39"/>
    <w:pPr>
      <w:spacing w:after="100"/>
      <w:ind w:left="220"/>
    </w:pPr>
    <w:rPr>
      <w:rFonts w:ascii="Calibri" w:hAnsi="Calibri" w:eastAsia="Times New Roman" w:cs="Times New Roman"/>
      <w:lang w:eastAsia="ja-JP"/>
    </w:rPr>
  </w:style>
  <w:style w:type="paragraph" w:styleId="35">
    <w:name w:val="toc 3"/>
    <w:basedOn w:val="1"/>
    <w:next w:val="1"/>
    <w:autoRedefine/>
    <w:unhideWhenUsed/>
    <w:qFormat/>
    <w:uiPriority w:val="39"/>
    <w:pPr>
      <w:spacing w:after="100" w:line="360" w:lineRule="auto"/>
      <w:ind w:left="440" w:firstLine="720"/>
      <w:jc w:val="both"/>
    </w:pPr>
    <w:rPr>
      <w:rFonts w:ascii="Calibri" w:hAnsi="Calibri" w:eastAsia="Times New Roman" w:cs="Times New Roman"/>
    </w:rPr>
  </w:style>
  <w:style w:type="paragraph" w:styleId="36">
    <w:name w:val="List Paragraph"/>
    <w:basedOn w:val="1"/>
    <w:link w:val="59"/>
    <w:qFormat/>
    <w:uiPriority w:val="34"/>
    <w:pPr>
      <w:spacing w:after="160" w:line="259" w:lineRule="auto"/>
      <w:ind w:left="720"/>
      <w:contextualSpacing/>
    </w:pPr>
  </w:style>
  <w:style w:type="paragraph" w:customStyle="1" w:styleId="37">
    <w:name w:val="Paragraph"/>
    <w:basedOn w:val="1"/>
    <w:next w:val="38"/>
    <w:qFormat/>
    <w:uiPriority w:val="0"/>
    <w:pPr>
      <w:widowControl w:val="0"/>
      <w:spacing w:after="60" w:line="240" w:lineRule="auto"/>
      <w:ind w:firstLine="284"/>
    </w:pPr>
  </w:style>
  <w:style w:type="paragraph" w:customStyle="1" w:styleId="38">
    <w:name w:val="First paragraph"/>
    <w:basedOn w:val="1"/>
    <w:next w:val="37"/>
    <w:qFormat/>
    <w:uiPriority w:val="0"/>
    <w:pPr>
      <w:spacing w:after="60" w:line="240" w:lineRule="auto"/>
    </w:pPr>
  </w:style>
  <w:style w:type="character" w:customStyle="1" w:styleId="39">
    <w:name w:val="Heading 1 Char"/>
    <w:basedOn w:val="11"/>
    <w:link w:val="2"/>
    <w:qFormat/>
    <w:uiPriority w:val="9"/>
    <w:rPr>
      <w:rFonts w:asciiTheme="majorHAnsi" w:hAnsiTheme="majorHAnsi" w:eastAsiaTheme="majorEastAsia" w:cstheme="majorBidi"/>
      <w:b/>
      <w:bCs/>
      <w:color w:val="2E75B6" w:themeColor="accent1" w:themeShade="BF"/>
      <w:sz w:val="28"/>
      <w:szCs w:val="28"/>
      <w:lang w:eastAsia="ja-JP"/>
    </w:rPr>
  </w:style>
  <w:style w:type="character" w:customStyle="1" w:styleId="40">
    <w:name w:val="Heading 3 Char"/>
    <w:basedOn w:val="11"/>
    <w:link w:val="4"/>
    <w:qFormat/>
    <w:uiPriority w:val="9"/>
    <w:rPr>
      <w:rFonts w:asciiTheme="majorHAnsi" w:hAnsiTheme="majorHAnsi" w:eastAsiaTheme="majorEastAsia" w:cstheme="majorBidi"/>
      <w:color w:val="1F4E79" w:themeColor="accent1" w:themeShade="80"/>
      <w:sz w:val="24"/>
      <w:szCs w:val="24"/>
    </w:rPr>
  </w:style>
  <w:style w:type="character" w:customStyle="1" w:styleId="41">
    <w:name w:val="Header Char"/>
    <w:basedOn w:val="11"/>
    <w:link w:val="24"/>
    <w:qFormat/>
    <w:uiPriority w:val="99"/>
  </w:style>
  <w:style w:type="character" w:customStyle="1" w:styleId="42">
    <w:name w:val="Footer Char"/>
    <w:basedOn w:val="11"/>
    <w:link w:val="21"/>
    <w:qFormat/>
    <w:uiPriority w:val="99"/>
  </w:style>
  <w:style w:type="character" w:customStyle="1" w:styleId="43">
    <w:name w:val="Balloon Text Char"/>
    <w:basedOn w:val="11"/>
    <w:link w:val="13"/>
    <w:semiHidden/>
    <w:qFormat/>
    <w:uiPriority w:val="99"/>
    <w:rPr>
      <w:rFonts w:ascii="Tahoma" w:hAnsi="Tahoma" w:cs="Tahoma"/>
      <w:sz w:val="16"/>
      <w:szCs w:val="16"/>
    </w:rPr>
  </w:style>
  <w:style w:type="character" w:customStyle="1" w:styleId="44">
    <w:name w:val="Footnote Text Char"/>
    <w:basedOn w:val="11"/>
    <w:link w:val="23"/>
    <w:semiHidden/>
    <w:qFormat/>
    <w:uiPriority w:val="0"/>
    <w:rPr>
      <w:sz w:val="20"/>
      <w:szCs w:val="20"/>
    </w:rPr>
  </w:style>
  <w:style w:type="character" w:customStyle="1" w:styleId="45">
    <w:name w:val="posted-on"/>
    <w:basedOn w:val="11"/>
    <w:qFormat/>
    <w:uiPriority w:val="0"/>
  </w:style>
  <w:style w:type="paragraph" w:customStyle="1" w:styleId="46">
    <w:name w:val="western"/>
    <w:qFormat/>
    <w:uiPriority w:val="0"/>
    <w:rPr>
      <w:rFonts w:ascii="Times New Roman" w:hAnsi="Times New Roman" w:eastAsia="SimSun" w:cs="Times New Roman"/>
      <w:lang w:val="en-US" w:eastAsia="zh-CN" w:bidi="ar-SA"/>
    </w:rPr>
  </w:style>
  <w:style w:type="character" w:customStyle="1" w:styleId="47">
    <w:name w:val="Subtle Emphasis1"/>
    <w:basedOn w:val="11"/>
    <w:qFormat/>
    <w:uiPriority w:val="19"/>
    <w:rPr>
      <w:i/>
      <w:iCs/>
      <w:color w:val="808080" w:themeColor="text1" w:themeTint="80"/>
      <w14:textFill>
        <w14:solidFill>
          <w14:schemeClr w14:val="tx1">
            <w14:lumMod w14:val="50000"/>
            <w14:lumOff w14:val="50000"/>
          </w14:schemeClr>
        </w14:solidFill>
      </w14:textFill>
    </w:rPr>
  </w:style>
  <w:style w:type="paragraph" w:customStyle="1" w:styleId="48">
    <w:name w:val="Bibliography1"/>
    <w:basedOn w:val="1"/>
    <w:next w:val="1"/>
    <w:unhideWhenUsed/>
    <w:qFormat/>
    <w:uiPriority w:val="37"/>
  </w:style>
  <w:style w:type="paragraph" w:customStyle="1" w:styleId="49">
    <w:name w:val="EndNote Bibliography"/>
    <w:basedOn w:val="1"/>
    <w:link w:val="50"/>
    <w:qFormat/>
    <w:uiPriority w:val="0"/>
    <w:pPr>
      <w:spacing w:after="160" w:line="240" w:lineRule="auto"/>
    </w:pPr>
    <w:rPr>
      <w:rFonts w:ascii="Times New Roman" w:hAnsi="Times New Roman" w:cs="Times New Roman"/>
      <w:color w:val="000000" w:themeColor="text1"/>
      <w:sz w:val="24"/>
      <w:szCs w:val="24"/>
      <w14:textFill>
        <w14:solidFill>
          <w14:schemeClr w14:val="tx1"/>
        </w14:solidFill>
      </w14:textFill>
    </w:rPr>
  </w:style>
  <w:style w:type="character" w:customStyle="1" w:styleId="50">
    <w:name w:val="EndNote Bibliography Char"/>
    <w:basedOn w:val="11"/>
    <w:link w:val="49"/>
    <w:qFormat/>
    <w:uiPriority w:val="0"/>
    <w:rPr>
      <w:rFonts w:ascii="Times New Roman" w:hAnsi="Times New Roman" w:cs="Times New Roman"/>
      <w:color w:val="000000" w:themeColor="text1"/>
      <w:sz w:val="24"/>
      <w:szCs w:val="24"/>
      <w14:textFill>
        <w14:solidFill>
          <w14:schemeClr w14:val="tx1"/>
        </w14:solidFill>
      </w14:textFill>
    </w:rPr>
  </w:style>
  <w:style w:type="character" w:customStyle="1" w:styleId="51">
    <w:name w:val="Heading 2 Char"/>
    <w:basedOn w:val="11"/>
    <w:link w:val="3"/>
    <w:qFormat/>
    <w:uiPriority w:val="9"/>
    <w:rPr>
      <w:rFonts w:asciiTheme="majorHAnsi" w:hAnsiTheme="majorHAnsi" w:eastAsiaTheme="majorEastAsia" w:cstheme="majorBidi"/>
      <w:color w:val="2E75B6" w:themeColor="accent1" w:themeShade="BF"/>
      <w:sz w:val="26"/>
      <w:szCs w:val="26"/>
    </w:rPr>
  </w:style>
  <w:style w:type="paragraph" w:customStyle="1" w:styleId="52">
    <w:name w:val="Default"/>
    <w:qFormat/>
    <w:uiPriority w:val="0"/>
    <w:pPr>
      <w:suppressAutoHyphens/>
      <w:jc w:val="center"/>
    </w:pPr>
    <w:rPr>
      <w:rFonts w:ascii="Gill Sans MT" w:hAnsi="Gill Sans MT" w:cs="Gill Sans MT" w:eastAsiaTheme="minorHAnsi"/>
      <w:color w:val="000000"/>
      <w:sz w:val="24"/>
      <w:szCs w:val="24"/>
      <w:lang w:val="en-US" w:eastAsia="en-US" w:bidi="ar-SA"/>
    </w:rPr>
  </w:style>
  <w:style w:type="paragraph" w:styleId="53">
    <w:name w:val="No Spacing"/>
    <w:qFormat/>
    <w:uiPriority w:val="1"/>
    <w:pPr>
      <w:suppressAutoHyphens/>
      <w:spacing w:beforeAutospacing="1" w:afterAutospacing="1" w:line="360" w:lineRule="auto"/>
      <w:ind w:firstLine="720"/>
      <w:jc w:val="both"/>
    </w:pPr>
    <w:rPr>
      <w:rFonts w:ascii="Times New Roman" w:hAnsi="Times New Roman" w:eastAsia="Calibri" w:cs="Calibri"/>
      <w:color w:val="000000" w:themeColor="text1"/>
      <w:sz w:val="24"/>
      <w:szCs w:val="22"/>
      <w:lang w:val="en-US" w:eastAsia="en-US" w:bidi="ar-SA"/>
      <w14:textFill>
        <w14:solidFill>
          <w14:schemeClr w14:val="tx1"/>
        </w14:solidFill>
      </w14:textFill>
    </w:rPr>
  </w:style>
  <w:style w:type="character" w:customStyle="1" w:styleId="54">
    <w:name w:val="Reference Char"/>
    <w:basedOn w:val="11"/>
    <w:link w:val="55"/>
    <w:qFormat/>
    <w:uiPriority w:val="0"/>
    <w:rPr>
      <w:rFonts w:cs="Times New Roman" w:eastAsiaTheme="minorEastAsia"/>
      <w:color w:val="000000" w:themeColor="text1"/>
      <w:szCs w:val="24"/>
      <w:lang w:bidi="ur-PK"/>
      <w14:textFill>
        <w14:solidFill>
          <w14:schemeClr w14:val="tx1"/>
        </w14:solidFill>
      </w14:textFill>
    </w:rPr>
  </w:style>
  <w:style w:type="paragraph" w:customStyle="1" w:styleId="55">
    <w:name w:val="Reference"/>
    <w:basedOn w:val="1"/>
    <w:link w:val="54"/>
    <w:qFormat/>
    <w:uiPriority w:val="0"/>
    <w:pPr>
      <w:suppressAutoHyphens/>
      <w:spacing w:beforeAutospacing="1" w:after="0" w:afterAutospacing="1" w:line="360" w:lineRule="auto"/>
      <w:ind w:left="720" w:right="720" w:hanging="720"/>
      <w:jc w:val="both"/>
    </w:pPr>
    <w:rPr>
      <w:rFonts w:cs="Times New Roman" w:eastAsiaTheme="minorEastAsia"/>
      <w:color w:val="000000" w:themeColor="text1"/>
      <w:szCs w:val="24"/>
      <w:lang w:bidi="ur-PK"/>
      <w14:textFill>
        <w14:solidFill>
          <w14:schemeClr w14:val="tx1"/>
        </w14:solidFill>
      </w14:textFill>
    </w:rPr>
  </w:style>
  <w:style w:type="character" w:customStyle="1" w:styleId="56">
    <w:name w:val="References Char"/>
    <w:basedOn w:val="11"/>
    <w:link w:val="57"/>
    <w:qFormat/>
    <w:uiPriority w:val="0"/>
    <w:rPr>
      <w:rFonts w:cs="Times New Roman" w:eastAsiaTheme="minorEastAsia"/>
      <w:color w:val="000000" w:themeColor="text1"/>
      <w:szCs w:val="24"/>
      <w:lang w:bidi="ur-PK"/>
      <w14:textFill>
        <w14:solidFill>
          <w14:schemeClr w14:val="tx1"/>
        </w14:solidFill>
      </w14:textFill>
    </w:rPr>
  </w:style>
  <w:style w:type="paragraph" w:customStyle="1" w:styleId="57">
    <w:name w:val="References"/>
    <w:basedOn w:val="1"/>
    <w:link w:val="56"/>
    <w:qFormat/>
    <w:uiPriority w:val="0"/>
    <w:pPr>
      <w:suppressAutoHyphens/>
      <w:spacing w:beforeAutospacing="1" w:after="0" w:afterAutospacing="1" w:line="360" w:lineRule="auto"/>
      <w:ind w:left="720" w:right="720" w:hanging="720"/>
      <w:jc w:val="both"/>
    </w:pPr>
    <w:rPr>
      <w:rFonts w:cs="Times New Roman" w:eastAsiaTheme="minorEastAsia"/>
      <w:color w:val="000000" w:themeColor="text1"/>
      <w:szCs w:val="24"/>
      <w:lang w:bidi="ur-PK"/>
      <w14:textFill>
        <w14:solidFill>
          <w14:schemeClr w14:val="tx1"/>
        </w14:solidFill>
      </w14:textFill>
    </w:rPr>
  </w:style>
  <w:style w:type="character" w:customStyle="1" w:styleId="58">
    <w:name w:val="Comment Text Char"/>
    <w:basedOn w:val="11"/>
    <w:link w:val="16"/>
    <w:semiHidden/>
    <w:qFormat/>
    <w:uiPriority w:val="99"/>
    <w:rPr>
      <w:rFonts w:ascii="Times New Roman" w:hAnsi="Times New Roman" w:eastAsia="Calibri"/>
      <w:color w:val="000000" w:themeColor="text1"/>
      <w:sz w:val="20"/>
      <w:szCs w:val="20"/>
      <w14:textFill>
        <w14:solidFill>
          <w14:schemeClr w14:val="tx1"/>
        </w14:solidFill>
      </w14:textFill>
    </w:rPr>
  </w:style>
  <w:style w:type="character" w:customStyle="1" w:styleId="59">
    <w:name w:val="List Paragraph Char"/>
    <w:basedOn w:val="11"/>
    <w:link w:val="36"/>
    <w:qFormat/>
    <w:uiPriority w:val="34"/>
  </w:style>
  <w:style w:type="character" w:customStyle="1" w:styleId="60">
    <w:name w:val="apple-converted-space"/>
    <w:basedOn w:val="11"/>
    <w:qFormat/>
    <w:uiPriority w:val="0"/>
  </w:style>
  <w:style w:type="paragraph" w:customStyle="1" w:styleId="61">
    <w:name w:val="Body"/>
    <w:qFormat/>
    <w:uiPriority w:val="0"/>
    <w:pPr>
      <w:spacing w:after="240"/>
      <w:jc w:val="both"/>
    </w:pPr>
    <w:rPr>
      <w:rFonts w:ascii="Times New Roman" w:hAnsi="Times New Roman" w:eastAsia="Arial Unicode MS" w:cs="Arial Unicode MS"/>
      <w:color w:val="000000"/>
      <w:sz w:val="24"/>
      <w:szCs w:val="24"/>
      <w:u w:color="000000"/>
      <w:lang w:val="en-US" w:eastAsia="en-US" w:bidi="ar-SA"/>
    </w:rPr>
  </w:style>
  <w:style w:type="character" w:customStyle="1" w:styleId="62">
    <w:name w:val="anchor-text"/>
    <w:basedOn w:val="11"/>
    <w:qFormat/>
    <w:uiPriority w:val="0"/>
  </w:style>
  <w:style w:type="paragraph" w:customStyle="1" w:styleId="63">
    <w:name w:val="Tag Bold"/>
    <w:basedOn w:val="1"/>
    <w:autoRedefine/>
    <w:qFormat/>
    <w:uiPriority w:val="0"/>
    <w:pPr>
      <w:autoSpaceDE w:val="0"/>
      <w:autoSpaceDN w:val="0"/>
      <w:adjustRightInd w:val="0"/>
      <w:spacing w:before="240" w:after="240" w:line="240" w:lineRule="auto"/>
      <w:jc w:val="both"/>
    </w:pPr>
    <w:rPr>
      <w:rFonts w:ascii="Times New Roman" w:hAnsi="Times New Roman" w:eastAsia="Times New Roman" w:cs="Times New Roman"/>
      <w:color w:val="222222"/>
      <w:sz w:val="24"/>
      <w:szCs w:val="24"/>
      <w:shd w:val="clear" w:color="auto" w:fill="FFFFFF"/>
    </w:rPr>
  </w:style>
  <w:style w:type="character" w:customStyle="1" w:styleId="64">
    <w:name w:val="Body Text Char"/>
    <w:basedOn w:val="11"/>
    <w:link w:val="14"/>
    <w:qFormat/>
    <w:uiPriority w:val="1"/>
    <w:rPr>
      <w:rFonts w:asciiTheme="majorBidi" w:hAnsiTheme="majorBidi" w:eastAsiaTheme="minorEastAsia"/>
      <w:sz w:val="24"/>
    </w:rPr>
  </w:style>
  <w:style w:type="paragraph" w:customStyle="1" w:styleId="65">
    <w:name w:val="Author"/>
    <w:qFormat/>
    <w:uiPriority w:val="99"/>
    <w:pPr>
      <w:spacing w:before="360" w:after="40"/>
      <w:jc w:val="center"/>
    </w:pPr>
    <w:rPr>
      <w:rFonts w:ascii="Times New Roman" w:hAnsi="Times New Roman" w:eastAsia="Times New Roman" w:cs="Times New Roman"/>
      <w:sz w:val="22"/>
      <w:szCs w:val="22"/>
      <w:lang w:val="en-US" w:eastAsia="en-US" w:bidi="ar-SA"/>
    </w:rPr>
  </w:style>
  <w:style w:type="paragraph" w:customStyle="1" w:styleId="66">
    <w:name w:val="Affiliation"/>
    <w:qFormat/>
    <w:uiPriority w:val="99"/>
    <w:pPr>
      <w:jc w:val="center"/>
    </w:pPr>
    <w:rPr>
      <w:rFonts w:ascii="Times New Roman" w:hAnsi="Times New Roman" w:eastAsia="Times New Roman" w:cs="Times New Roman"/>
      <w:lang w:val="en-US" w:eastAsia="en-US" w:bidi="ar-SA"/>
    </w:rPr>
  </w:style>
  <w:style w:type="table" w:customStyle="1" w:styleId="67">
    <w:name w:val="Plain Table 21"/>
    <w:basedOn w:val="12"/>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character" w:customStyle="1" w:styleId="68">
    <w:name w:val="No Spacing Char"/>
    <w:basedOn w:val="11"/>
    <w:link w:val="69"/>
    <w:qFormat/>
    <w:uiPriority w:val="1"/>
    <w:rPr>
      <w:rFonts w:ascii="Calibri" w:hAnsi="Calibri" w:eastAsia="DengXian" w:cs="Arial"/>
      <w:sz w:val="22"/>
      <w:szCs w:val="22"/>
      <w:lang w:val="en-US" w:eastAsia="en-US" w:bidi="ar-SA"/>
    </w:rPr>
  </w:style>
  <w:style w:type="paragraph" w:customStyle="1" w:styleId="69">
    <w:name w:val="No Spacing1"/>
    <w:link w:val="68"/>
    <w:qFormat/>
    <w:uiPriority w:val="0"/>
    <w:rPr>
      <w:rFonts w:ascii="Calibri" w:hAnsi="Calibri" w:eastAsia="DengXian" w:cs="Arial"/>
      <w:sz w:val="22"/>
      <w:szCs w:val="22"/>
      <w:lang w:val="en-US" w:eastAsia="en-US" w:bidi="ar-SA"/>
    </w:rPr>
  </w:style>
  <w:style w:type="character" w:customStyle="1" w:styleId="70">
    <w:name w:val="Unresolved Mention1"/>
    <w:basedOn w:val="11"/>
    <w:semiHidden/>
    <w:unhideWhenUsed/>
    <w:qFormat/>
    <w:uiPriority w:val="99"/>
    <w:rPr>
      <w:color w:val="605E5C"/>
      <w:shd w:val="clear" w:color="auto" w:fill="E1DFDD"/>
    </w:rPr>
  </w:style>
  <w:style w:type="character" w:customStyle="1" w:styleId="71">
    <w:name w:val="Title Char"/>
    <w:basedOn w:val="11"/>
    <w:link w:val="32"/>
    <w:qFormat/>
    <w:uiPriority w:val="10"/>
    <w:rPr>
      <w:rFonts w:ascii="Times New Roman" w:hAnsi="Times New Roman" w:eastAsia="PMingLiU" w:cs="Times New Roman"/>
      <w:b/>
      <w:sz w:val="28"/>
      <w:szCs w:val="20"/>
      <w:lang w:eastAsia="zh-TW"/>
    </w:rPr>
  </w:style>
  <w:style w:type="character" w:customStyle="1" w:styleId="72">
    <w:name w:val="Heading 4 Char"/>
    <w:basedOn w:val="11"/>
    <w:link w:val="5"/>
    <w:qFormat/>
    <w:uiPriority w:val="9"/>
    <w:rPr>
      <w:rFonts w:ascii="Times New Roman" w:hAnsi="Times New Roman" w:eastAsia="Times New Roman" w:cs="Times New Roman"/>
      <w:i/>
      <w:iCs/>
      <w:sz w:val="24"/>
    </w:rPr>
  </w:style>
  <w:style w:type="character" w:customStyle="1" w:styleId="73">
    <w:name w:val="Heading 5 Char"/>
    <w:basedOn w:val="11"/>
    <w:link w:val="6"/>
    <w:qFormat/>
    <w:uiPriority w:val="9"/>
    <w:rPr>
      <w:rFonts w:ascii="Calibri" w:hAnsi="Calibri" w:eastAsia="Times New Roman" w:cs="Times New Roman"/>
      <w:b/>
      <w:bCs/>
      <w:i/>
      <w:iCs/>
      <w:sz w:val="26"/>
      <w:szCs w:val="26"/>
    </w:rPr>
  </w:style>
  <w:style w:type="character" w:customStyle="1" w:styleId="74">
    <w:name w:val="Heading 6 Char"/>
    <w:basedOn w:val="11"/>
    <w:link w:val="7"/>
    <w:semiHidden/>
    <w:qFormat/>
    <w:uiPriority w:val="9"/>
    <w:rPr>
      <w:rFonts w:ascii="Calibri Light" w:hAnsi="Calibri Light" w:eastAsia="Times New Roman" w:cs="Times New Roman"/>
      <w:color w:val="1F3763"/>
      <w:sz w:val="24"/>
    </w:rPr>
  </w:style>
  <w:style w:type="character" w:customStyle="1" w:styleId="75">
    <w:name w:val="Heading 7 Char"/>
    <w:basedOn w:val="11"/>
    <w:link w:val="8"/>
    <w:semiHidden/>
    <w:qFormat/>
    <w:uiPriority w:val="9"/>
    <w:rPr>
      <w:rFonts w:ascii="Calibri Light" w:hAnsi="Calibri Light" w:eastAsia="Times New Roman" w:cs="Times New Roman"/>
      <w:i/>
      <w:iCs/>
      <w:color w:val="1F3763"/>
      <w:sz w:val="24"/>
    </w:rPr>
  </w:style>
  <w:style w:type="character" w:customStyle="1" w:styleId="76">
    <w:name w:val="Heading 8 Char"/>
    <w:basedOn w:val="11"/>
    <w:link w:val="9"/>
    <w:semiHidden/>
    <w:qFormat/>
    <w:uiPriority w:val="9"/>
    <w:rPr>
      <w:rFonts w:ascii="Calibri Light" w:hAnsi="Calibri Light" w:eastAsia="Times New Roman" w:cs="Times New Roman"/>
      <w:color w:val="272727"/>
      <w:sz w:val="21"/>
      <w:szCs w:val="21"/>
    </w:rPr>
  </w:style>
  <w:style w:type="character" w:customStyle="1" w:styleId="77">
    <w:name w:val="Heading 9 Char"/>
    <w:basedOn w:val="11"/>
    <w:link w:val="10"/>
    <w:semiHidden/>
    <w:qFormat/>
    <w:uiPriority w:val="9"/>
    <w:rPr>
      <w:rFonts w:ascii="Calibri Light" w:hAnsi="Calibri Light" w:eastAsia="Times New Roman" w:cs="Times New Roman"/>
      <w:i/>
      <w:iCs/>
      <w:color w:val="272727"/>
      <w:sz w:val="21"/>
      <w:szCs w:val="21"/>
    </w:rPr>
  </w:style>
  <w:style w:type="character" w:customStyle="1" w:styleId="78">
    <w:name w:val="Subtitle Char"/>
    <w:basedOn w:val="11"/>
    <w:link w:val="29"/>
    <w:qFormat/>
    <w:uiPriority w:val="0"/>
    <w:rPr>
      <w:rFonts w:ascii="Times New Roman" w:hAnsi="Times New Roman" w:eastAsia="Times New Roman" w:cs="Times New Roman"/>
      <w:b/>
      <w:sz w:val="36"/>
      <w:szCs w:val="24"/>
      <w:u w:val="single"/>
      <w:lang w:val="en-GB"/>
    </w:rPr>
  </w:style>
  <w:style w:type="character" w:customStyle="1" w:styleId="79">
    <w:name w:val="Endnote Text Char"/>
    <w:basedOn w:val="11"/>
    <w:link w:val="19"/>
    <w:semiHidden/>
    <w:qFormat/>
    <w:uiPriority w:val="99"/>
    <w:rPr>
      <w:rFonts w:ascii="Calibri" w:hAnsi="Calibri" w:eastAsia="Times New Roman" w:cs="Times New Roman"/>
      <w:sz w:val="20"/>
      <w:szCs w:val="20"/>
    </w:rPr>
  </w:style>
  <w:style w:type="character" w:customStyle="1" w:styleId="80">
    <w:name w:val="a"/>
    <w:basedOn w:val="11"/>
    <w:qFormat/>
    <w:uiPriority w:val="0"/>
  </w:style>
  <w:style w:type="character" w:customStyle="1" w:styleId="81">
    <w:name w:val="st"/>
    <w:basedOn w:val="11"/>
    <w:qFormat/>
    <w:uiPriority w:val="0"/>
  </w:style>
  <w:style w:type="character" w:customStyle="1" w:styleId="82">
    <w:name w:val="authors"/>
    <w:qFormat/>
    <w:uiPriority w:val="0"/>
  </w:style>
  <w:style w:type="character" w:customStyle="1" w:styleId="83">
    <w:name w:val="Date1"/>
    <w:qFormat/>
    <w:uiPriority w:val="0"/>
  </w:style>
  <w:style w:type="character" w:customStyle="1" w:styleId="84">
    <w:name w:val="art_title"/>
    <w:qFormat/>
    <w:uiPriority w:val="0"/>
  </w:style>
  <w:style w:type="character" w:customStyle="1" w:styleId="85">
    <w:name w:val="serial_title"/>
    <w:qFormat/>
    <w:uiPriority w:val="0"/>
  </w:style>
  <w:style w:type="character" w:customStyle="1" w:styleId="86">
    <w:name w:val="volume_issue"/>
    <w:qFormat/>
    <w:uiPriority w:val="0"/>
  </w:style>
  <w:style w:type="character" w:customStyle="1" w:styleId="87">
    <w:name w:val="page_range"/>
    <w:qFormat/>
    <w:uiPriority w:val="0"/>
  </w:style>
  <w:style w:type="character" w:customStyle="1" w:styleId="88">
    <w:name w:val="doi_link"/>
    <w:qFormat/>
    <w:uiPriority w:val="0"/>
  </w:style>
  <w:style w:type="paragraph" w:customStyle="1" w:styleId="89">
    <w:name w:val="TOC Heading1"/>
    <w:basedOn w:val="2"/>
    <w:next w:val="1"/>
    <w:unhideWhenUsed/>
    <w:qFormat/>
    <w:uiPriority w:val="39"/>
    <w:pPr>
      <w:spacing w:before="240" w:line="360" w:lineRule="auto"/>
      <w:ind w:firstLine="720"/>
      <w:jc w:val="both"/>
      <w:outlineLvl w:val="9"/>
    </w:pPr>
    <w:rPr>
      <w:rFonts w:ascii="Calibri Light" w:hAnsi="Calibri Light" w:eastAsia="Times New Roman" w:cs="Times New Roman"/>
      <w:b w:val="0"/>
      <w:bCs w:val="0"/>
      <w:color w:val="2F5496"/>
      <w:sz w:val="32"/>
      <w:szCs w:val="32"/>
      <w:lang w:eastAsia="en-US"/>
    </w:rPr>
  </w:style>
  <w:style w:type="paragraph" w:customStyle="1" w:styleId="90">
    <w:name w:val="EndNote Bibliography Title"/>
    <w:basedOn w:val="1"/>
    <w:link w:val="91"/>
    <w:qFormat/>
    <w:uiPriority w:val="0"/>
    <w:pPr>
      <w:spacing w:after="0" w:line="259" w:lineRule="auto"/>
      <w:jc w:val="center"/>
    </w:pPr>
    <w:rPr>
      <w:rFonts w:ascii="Calibri" w:hAnsi="Calibri" w:eastAsia="Calibri" w:cs="Calibri"/>
      <w:kern w:val="2"/>
    </w:rPr>
  </w:style>
  <w:style w:type="character" w:customStyle="1" w:styleId="91">
    <w:name w:val="EndNote Bibliography Title Char"/>
    <w:link w:val="90"/>
    <w:qFormat/>
    <w:uiPriority w:val="0"/>
    <w:rPr>
      <w:rFonts w:ascii="Calibri" w:hAnsi="Calibri" w:eastAsia="Calibri" w:cs="Calibri"/>
      <w:kern w:val="2"/>
    </w:rPr>
  </w:style>
  <w:style w:type="character" w:customStyle="1" w:styleId="92">
    <w:name w:val="Unresolved Mention11"/>
    <w:semiHidden/>
    <w:unhideWhenUsed/>
    <w:qFormat/>
    <w:uiPriority w:val="99"/>
    <w:rPr>
      <w:color w:val="605E5C"/>
      <w:shd w:val="clear" w:color="auto" w:fill="E1DFDD"/>
    </w:rPr>
  </w:style>
  <w:style w:type="table" w:customStyle="1" w:styleId="93">
    <w:name w:val="Grid Table 1 Light1"/>
    <w:basedOn w:val="12"/>
    <w:qFormat/>
    <w:uiPriority w:val="46"/>
    <w:rPr>
      <w:rFonts w:ascii="Calibri" w:hAnsi="Calibri" w:eastAsia="Calibri"/>
      <w:lang w:bidi="ur-PK"/>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character" w:customStyle="1" w:styleId="94">
    <w:name w:val="ref-lnk"/>
    <w:qFormat/>
    <w:uiPriority w:val="0"/>
  </w:style>
  <w:style w:type="character" w:customStyle="1" w:styleId="95">
    <w:name w:val="jss207"/>
    <w:qFormat/>
    <w:uiPriority w:val="0"/>
  </w:style>
  <w:style w:type="paragraph" w:customStyle="1" w:styleId="96">
    <w:name w:val="Pa12"/>
    <w:basedOn w:val="52"/>
    <w:next w:val="52"/>
    <w:qFormat/>
    <w:uiPriority w:val="99"/>
    <w:pPr>
      <w:suppressAutoHyphens w:val="0"/>
      <w:autoSpaceDE w:val="0"/>
      <w:autoSpaceDN w:val="0"/>
      <w:adjustRightInd w:val="0"/>
      <w:spacing w:line="221" w:lineRule="atLeast"/>
      <w:ind w:firstLine="720"/>
      <w:jc w:val="both"/>
    </w:pPr>
    <w:rPr>
      <w:rFonts w:ascii="Times New Roman" w:hAnsi="Times New Roman" w:eastAsia="Calibri" w:cs="Times New Roman"/>
      <w:color w:val="auto"/>
    </w:rPr>
  </w:style>
  <w:style w:type="character" w:customStyle="1" w:styleId="97">
    <w:name w:val="fontstyle01"/>
    <w:qFormat/>
    <w:uiPriority w:val="0"/>
    <w:rPr>
      <w:rFonts w:hint="eastAsia" w:ascii="TimesNewRomanPSMT" w:hAnsi="TimesNewRomanPSMT" w:eastAsia="TimesNewRomanPSMT"/>
      <w:color w:val="242021"/>
      <w:sz w:val="20"/>
      <w:szCs w:val="20"/>
    </w:rPr>
  </w:style>
  <w:style w:type="table" w:customStyle="1" w:styleId="98">
    <w:name w:val="Table Grid1"/>
    <w:basedOn w:val="12"/>
    <w:unhideWhenUsed/>
    <w:qFormat/>
    <w:uiPriority w:val="59"/>
    <w:rPr>
      <w:rFonts w:ascii="Calibri" w:hAnsi="Calibri" w:eastAsia="Times New Roman"/>
      <w:lang w:val="en-GB" w:eastAsia="en-GB" w:bidi="ur-P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9">
    <w:name w:val="MDPI_3.1_text"/>
    <w:qFormat/>
    <w:uiPriority w:val="0"/>
    <w:pPr>
      <w:adjustRightInd w:val="0"/>
      <w:snapToGrid w:val="0"/>
      <w:spacing w:line="228" w:lineRule="auto"/>
      <w:ind w:left="2608" w:firstLine="425"/>
      <w:jc w:val="both"/>
    </w:pPr>
    <w:rPr>
      <w:rFonts w:ascii="Palatino Linotype" w:hAnsi="Palatino Linotype" w:eastAsia="Times New Roman" w:cs="Times New Roman"/>
      <w:snapToGrid w:val="0"/>
      <w:color w:val="000000"/>
      <w:szCs w:val="22"/>
      <w:lang w:val="en-US" w:eastAsia="de-DE" w:bidi="en-US"/>
    </w:rPr>
  </w:style>
  <w:style w:type="table" w:customStyle="1" w:styleId="100">
    <w:name w:val="Grid Table 1 Light2"/>
    <w:basedOn w:val="12"/>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101">
    <w:name w:val="Table Paragraph"/>
    <w:basedOn w:val="1"/>
    <w:qFormat/>
    <w:uiPriority w:val="1"/>
    <w:pPr>
      <w:spacing w:line="217" w:lineRule="exact"/>
      <w:jc w:val="center"/>
    </w:pPr>
  </w:style>
  <w:style w:type="paragraph" w:customStyle="1" w:styleId="102">
    <w:name w:val="Abstract"/>
    <w:basedOn w:val="1"/>
    <w:next w:val="14"/>
    <w:qFormat/>
    <w:uiPriority w:val="0"/>
    <w:pPr>
      <w:spacing w:after="60" w:line="240" w:lineRule="auto"/>
      <w:ind w:left="720" w:right="567"/>
    </w:pPr>
  </w:style>
  <w:style w:type="paragraph" w:customStyle="1" w:styleId="103">
    <w:name w:val="Keywords"/>
    <w:basedOn w:val="1"/>
    <w:next w:val="37"/>
    <w:qFormat/>
    <w:uiPriority w:val="0"/>
    <w:pPr>
      <w:spacing w:after="120"/>
      <w:ind w:left="720" w:right="567"/>
    </w:pPr>
    <w:rPr>
      <w:i/>
    </w:rPr>
  </w:style>
  <w:style w:type="paragraph" w:customStyle="1" w:styleId="104">
    <w:name w:val="Text"/>
    <w:basedOn w:val="1"/>
    <w:qFormat/>
    <w:uiPriority w:val="0"/>
    <w:pPr>
      <w:spacing w:line="252" w:lineRule="auto"/>
      <w:ind w:firstLine="202"/>
      <w:jc w:val="both"/>
    </w:pPr>
    <w:rPr>
      <w:sz w:val="20"/>
      <w:szCs w:val="20"/>
    </w:rPr>
  </w:style>
  <w:style w:type="character" w:customStyle="1" w:styleId="105">
    <w:name w:val="Intense Emphasis1"/>
    <w:basedOn w:val="11"/>
    <w:qFormat/>
    <w:uiPriority w:val="21"/>
    <w:rPr>
      <w:b/>
      <w:bCs/>
      <w:i/>
      <w:iCs/>
      <w:color w:val="5B9BD5" w:themeColor="accent1"/>
      <w14:textFill>
        <w14:solidFill>
          <w14:schemeClr w14:val="accent1"/>
        </w14:solidFill>
      </w14:textFill>
    </w:rPr>
  </w:style>
  <w:style w:type="table" w:customStyle="1" w:styleId="106">
    <w:name w:val="Table Grid Light1"/>
    <w:basedOn w:val="12"/>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107">
    <w:name w:val="Grid Table 4 - Accent 11"/>
    <w:basedOn w:val="12"/>
    <w:qFormat/>
    <w:uiPriority w:val="49"/>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108">
    <w:name w:val="Grid Table 3 - Accent 21"/>
    <w:basedOn w:val="12"/>
    <w:qFormat/>
    <w:uiPriority w:val="48"/>
    <w:tblPr>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rPr>
      <w:tcPr>
        <w:tcBorders>
          <w:top w:val="nil"/>
          <w:left w:val="nil"/>
          <w:right w:val="nil"/>
          <w:insideH w:val="nil"/>
          <w:insideV w:val="nil"/>
        </w:tcBorders>
        <w:shd w:val="clear" w:color="auto" w:fill="FFFFFF" w:themeFill="background1"/>
      </w:tcPr>
    </w:tblStylePr>
    <w:tblStylePr w:type="lastRow">
      <w:rPr>
        <w:b/>
        <w:bCs/>
      </w:rPr>
      <w:tcPr>
        <w:tcBorders>
          <w:left w:val="nil"/>
          <w:bottom w:val="nil"/>
          <w:right w:val="nil"/>
          <w:insideH w:val="nil"/>
          <w:insideV w:val="nil"/>
        </w:tcBorders>
        <w:shd w:val="clear" w:color="auto" w:fill="FFFFFF" w:themeFill="background1"/>
      </w:tcPr>
    </w:tblStylePr>
    <w:tblStylePr w:type="firstCol">
      <w:pPr>
        <w:jc w:val="right"/>
      </w:pPr>
      <w:rPr>
        <w:i/>
        <w:iCs/>
      </w:rPr>
      <w:tcPr>
        <w:tcBorders>
          <w:top w:val="nil"/>
          <w:left w:val="nil"/>
          <w:bottom w:val="nil"/>
          <w:insideH w:val="nil"/>
          <w:insideV w:val="nil"/>
        </w:tcBorders>
        <w:shd w:val="clear" w:color="auto" w:fill="FFFFFF" w:themeFill="background1"/>
      </w:tcPr>
    </w:tblStylePr>
    <w:tblStylePr w:type="lastCol">
      <w:rPr>
        <w:i/>
        <w:iCs/>
      </w:rPr>
      <w:tcPr>
        <w:tcBorders>
          <w:top w:val="nil"/>
          <w:bottom w:val="nil"/>
          <w:right w:val="nil"/>
          <w:insideH w:val="nil"/>
          <w:insideV w:val="nil"/>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bottom w:val="single" w:color="F4B083" w:themeColor="accent2" w:themeTint="99" w:sz="4" w:space="0"/>
        </w:tcBorders>
      </w:tcPr>
    </w:tblStylePr>
    <w:tblStylePr w:type="nwCell">
      <w:tcPr>
        <w:tcBorders>
          <w:bottom w:val="single" w:color="F4B083" w:themeColor="accent2" w:themeTint="99" w:sz="4" w:space="0"/>
        </w:tcBorders>
      </w:tcPr>
    </w:tblStylePr>
    <w:tblStylePr w:type="seCell">
      <w:tcPr>
        <w:tcBorders>
          <w:top w:val="single" w:color="F4B083" w:themeColor="accent2" w:themeTint="99" w:sz="4" w:space="0"/>
        </w:tcBorders>
      </w:tcPr>
    </w:tblStylePr>
    <w:tblStylePr w:type="swCell">
      <w:tcPr>
        <w:tcBorders>
          <w:top w:val="single" w:color="F4B083" w:themeColor="accent2" w:themeTint="99" w:sz="4" w:space="0"/>
        </w:tcBorders>
      </w:tcPr>
    </w:tblStylePr>
  </w:style>
  <w:style w:type="table" w:customStyle="1" w:styleId="109">
    <w:name w:val="Grid Table 4 - Accent 12"/>
    <w:basedOn w:val="12"/>
    <w:qFormat/>
    <w:uiPriority w:val="49"/>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110">
    <w:name w:val="Plain Table 22"/>
    <w:basedOn w:val="12"/>
    <w:qFormat/>
    <w:uiPriority w:val="42"/>
    <w:pPr>
      <w:jc w:val="center"/>
    </w:pPr>
    <w:tblPr>
      <w:tblBorders>
        <w:top w:val="single" w:color="7E7E7E" w:themeColor="text1" w:themeTint="80" w:sz="4" w:space="0"/>
        <w:bottom w:val="single" w:color="7E7E7E" w:themeColor="text1" w:themeTint="80" w:sz="4" w:space="0"/>
      </w:tblBorders>
    </w:tblPr>
    <w:tcPr>
      <w:vAlign w:val="center"/>
    </w:tcPr>
    <w:tblStylePr w:type="firstRow">
      <w:rPr>
        <w:b/>
        <w:bCs/>
      </w:rPr>
      <w:tcPr>
        <w:tcBorders>
          <w:bottom w:val="single" w:color="000000" w:themeColor="text1" w:sz="4" w:space="0"/>
        </w:tcBorders>
      </w:tcPr>
    </w:tblStylePr>
    <w:tblStylePr w:type="lastRow">
      <w:rPr>
        <w:b/>
        <w:bCs/>
      </w:rPr>
      <w:tcPr>
        <w:tcBorders>
          <w:top w:val="single" w:color="000000" w:themeColor="text1" w:sz="4" w:space="0"/>
        </w:tcBorders>
      </w:tcPr>
    </w:tblStylePr>
    <w:tblStylePr w:type="firstCol">
      <w:rPr>
        <w:b/>
        <w:bCs/>
      </w:rPr>
    </w:tblStylePr>
    <w:tblStylePr w:type="lastCol">
      <w:rPr>
        <w:b/>
        <w:bCs/>
      </w:r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band1Horz">
      <w:tcPr>
        <w:tcBorders>
          <w:top w:val="single" w:color="000000" w:themeColor="text1" w:sz="4" w:space="0"/>
          <w:bottom w:val="single" w:color="000000" w:themeColor="text1" w:sz="4" w:space="0"/>
        </w:tcBorders>
      </w:tcPr>
    </w:tblStylePr>
  </w:style>
  <w:style w:type="table" w:customStyle="1" w:styleId="111">
    <w:name w:val="Plain Table 11"/>
    <w:basedOn w:val="12"/>
    <w:qFormat/>
    <w:uiPriority w:val="99"/>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paragraph" w:customStyle="1" w:styleId="112">
    <w:name w:val="Normal11"/>
    <w:basedOn w:val="52"/>
    <w:qFormat/>
    <w:uiPriority w:val="0"/>
    <w:pPr>
      <w:spacing w:line="176" w:lineRule="atLeast"/>
    </w:pPr>
    <w:rPr>
      <w:sz w:val="18"/>
      <w:szCs w:val="18"/>
    </w:rPr>
  </w:style>
  <w:style w:type="table" w:customStyle="1" w:styleId="113">
    <w:name w:val="Light Grid - Accent 11"/>
    <w:basedOn w:val="12"/>
    <w:qFormat/>
    <w:uiPriority w:val="62"/>
    <w:rPr>
      <w:rFonts w:asciiTheme="minorHAnsi" w:hAnsiTheme="minorHAnsi" w:eastAsiaTheme="minorEastAsia" w:cstheme="minorBidi"/>
      <w:sz w:val="22"/>
      <w:szCs w:val="22"/>
    </w:rPr>
    <w:tblPr>
      <w:tblBorders>
        <w:top w:val="single" w:color="5B9BD5" w:themeColor="accent1" w:sz="8" w:space="0"/>
        <w:left w:val="single" w:color="5B9BD5" w:themeColor="accent1" w:sz="8" w:space="0"/>
        <w:bottom w:val="single" w:color="5B9BD5" w:themeColor="accent1" w:sz="8" w:space="0"/>
        <w:right w:val="single" w:color="5B9BD5" w:themeColor="accent1" w:sz="8" w:space="0"/>
        <w:insideH w:val="single" w:color="5B9BD5" w:themeColor="accent1" w:sz="8" w:space="0"/>
        <w:insideV w:val="single" w:color="5B9BD5" w:themeColor="accent1" w:sz="8" w:space="0"/>
      </w:tblBorders>
    </w:tblPr>
    <w:tblStylePr w:type="firstRow">
      <w:pPr>
        <w:spacing w:before="0" w:after="0" w:line="240" w:lineRule="auto"/>
      </w:pPr>
      <w:rPr>
        <w:rFonts w:asciiTheme="majorHAnsi" w:hAnsiTheme="majorHAnsi" w:eastAsiaTheme="majorEastAsia" w:cstheme="majorBidi"/>
        <w:b/>
        <w:bCs/>
      </w:rPr>
      <w:tcPr>
        <w:tcBorders>
          <w:top w:val="single" w:color="5B9BD5" w:themeColor="accent1" w:sz="8" w:space="0"/>
          <w:left w:val="single" w:color="5B9BD5" w:themeColor="accent1" w:sz="8" w:space="0"/>
          <w:bottom w:val="single" w:color="5B9BD5" w:themeColor="accent1" w:sz="18" w:space="0"/>
          <w:right w:val="single" w:color="5B9BD5"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5B9BD5" w:themeColor="accent1" w:sz="6" w:space="0"/>
          <w:left w:val="single" w:color="5B9BD5" w:themeColor="accent1" w:sz="8" w:space="0"/>
          <w:bottom w:val="single" w:color="5B9BD5" w:themeColor="accent1" w:sz="8" w:space="0"/>
          <w:right w:val="single" w:color="5B9BD5"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5B9BD5" w:themeColor="accent1" w:sz="8" w:space="0"/>
          <w:left w:val="single" w:color="5B9BD5" w:themeColor="accent1" w:sz="8" w:space="0"/>
          <w:bottom w:val="single" w:color="5B9BD5" w:themeColor="accent1" w:sz="8" w:space="0"/>
          <w:right w:val="single" w:color="5B9BD5" w:themeColor="accent1" w:sz="8" w:space="0"/>
        </w:tcBorders>
      </w:tcPr>
    </w:tblStylePr>
    <w:tblStylePr w:type="band1Vert">
      <w:tcPr>
        <w:tcBorders>
          <w:top w:val="single" w:color="5B9BD5" w:themeColor="accent1" w:sz="8" w:space="0"/>
          <w:left w:val="single" w:color="5B9BD5" w:themeColor="accent1" w:sz="8" w:space="0"/>
          <w:bottom w:val="single" w:color="5B9BD5" w:themeColor="accent1" w:sz="8" w:space="0"/>
          <w:right w:val="single" w:color="5B9BD5" w:themeColor="accent1" w:sz="8" w:space="0"/>
        </w:tcBorders>
        <w:shd w:val="clear" w:color="auto" w:fill="D6E6F4" w:themeFill="accent1" w:themeFillTint="3F"/>
      </w:tcPr>
    </w:tblStylePr>
    <w:tblStylePr w:type="band1Horz">
      <w:tcPr>
        <w:tcBorders>
          <w:top w:val="single" w:color="5B9BD5" w:themeColor="accent1" w:sz="8" w:space="0"/>
          <w:left w:val="single" w:color="5B9BD5" w:themeColor="accent1" w:sz="8" w:space="0"/>
          <w:bottom w:val="single" w:color="5B9BD5" w:themeColor="accent1" w:sz="8" w:space="0"/>
          <w:right w:val="single" w:color="5B9BD5" w:themeColor="accent1" w:sz="8" w:space="0"/>
          <w:insideV w:val="single" w:sz="8" w:space="0"/>
        </w:tcBorders>
        <w:shd w:val="clear" w:color="auto" w:fill="D6E6F4" w:themeFill="accent1" w:themeFillTint="3F"/>
      </w:tcPr>
    </w:tblStylePr>
    <w:tblStylePr w:type="band2Horz">
      <w:tcPr>
        <w:tcBorders>
          <w:top w:val="single" w:color="5B9BD5" w:themeColor="accent1" w:sz="8" w:space="0"/>
          <w:left w:val="single" w:color="5B9BD5" w:themeColor="accent1" w:sz="8" w:space="0"/>
          <w:bottom w:val="single" w:color="5B9BD5" w:themeColor="accent1" w:sz="8" w:space="0"/>
          <w:right w:val="single" w:color="5B9BD5" w:themeColor="accent1" w:sz="8" w:space="0"/>
          <w:insideV w:val="single" w:sz="8" w:space="0"/>
        </w:tcBorders>
      </w:tcPr>
    </w:tblStylePr>
  </w:style>
  <w:style w:type="paragraph" w:customStyle="1" w:styleId="114">
    <w:name w:val="Thesis"/>
    <w:basedOn w:val="36"/>
    <w:qFormat/>
    <w:uiPriority w:val="0"/>
    <w:pPr>
      <w:ind w:left="0"/>
    </w:pPr>
    <w:rPr>
      <w:rFonts w:cs="Times New Roman"/>
      <w:color w:val="000000" w:themeColor="text1"/>
      <w:szCs w:val="24"/>
      <w14:textFill>
        <w14:solidFill>
          <w14:schemeClr w14:val="tx1"/>
        </w14:solidFill>
      </w14:textFill>
    </w:rPr>
  </w:style>
  <w:style w:type="table" w:customStyle="1" w:styleId="115">
    <w:name w:val="_Style 10"/>
    <w:basedOn w:val="116"/>
    <w:qFormat/>
    <w:uiPriority w:val="0"/>
  </w:style>
  <w:style w:type="table" w:customStyle="1" w:styleId="116">
    <w:name w:val="TableNormal"/>
    <w:qFormat/>
    <w:uiPriority w:val="0"/>
    <w:tblPr>
      <w:tblCellMar>
        <w:top w:w="100" w:type="dxa"/>
        <w:left w:w="100" w:type="dxa"/>
        <w:bottom w:w="100" w:type="dxa"/>
        <w:right w:w="100" w:type="dxa"/>
      </w:tblCellMar>
    </w:tblPr>
  </w:style>
  <w:style w:type="table" w:customStyle="1" w:styleId="117">
    <w:name w:val="_Style 11"/>
    <w:basedOn w:val="116"/>
    <w:qFormat/>
    <w:uiPriority w:val="0"/>
  </w:style>
  <w:style w:type="table" w:customStyle="1" w:styleId="118">
    <w:name w:val="_Style 12"/>
    <w:basedOn w:val="116"/>
    <w:qFormat/>
    <w:uiPriority w:val="0"/>
  </w:style>
  <w:style w:type="table" w:customStyle="1" w:styleId="119">
    <w:name w:val="_Style 13"/>
    <w:basedOn w:val="116"/>
    <w:qFormat/>
    <w:uiPriority w:val="0"/>
  </w:style>
  <w:style w:type="table" w:customStyle="1" w:styleId="120">
    <w:name w:val="List Table 6 Colorful1"/>
    <w:basedOn w:val="12"/>
    <w:qFormat/>
    <w:uiPriority w:val="51"/>
    <w:rPr>
      <w:color w:val="000000" w:themeColor="text1"/>
      <w14:textFill>
        <w14:solidFill>
          <w14:schemeClr w14:val="tx1"/>
        </w14:solidFill>
      </w14:textFill>
    </w:rPr>
    <w:tblPr>
      <w:tblBorders>
        <w:top w:val="single" w:color="000000" w:themeColor="text1" w:sz="4" w:space="0"/>
        <w:bottom w:val="single" w:color="000000" w:themeColor="text1" w:sz="4" w:space="0"/>
      </w:tblBorders>
    </w:tblPr>
    <w:tblStylePr w:type="firstRow">
      <w:rPr>
        <w:b/>
        <w:bCs/>
      </w:rPr>
      <w:tcPr>
        <w:tcBorders>
          <w:bottom w:val="single" w:color="000000" w:themeColor="text1" w:sz="4" w:space="0"/>
        </w:tcBorders>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121">
    <w:name w:val="font-claude-response-body"/>
    <w:basedOn w:val="1"/>
    <w:qFormat/>
    <w:uiPriority w:val="0"/>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122">
    <w:name w:val="sequence__chunk"/>
    <w:basedOn w:val="11"/>
    <w:qFormat/>
    <w:uiPriority w:val="0"/>
  </w:style>
  <w:style w:type="table" w:customStyle="1" w:styleId="123">
    <w:name w:val="TableGrid"/>
    <w:qFormat/>
    <w:uiPriority w:val="0"/>
    <w:tblPr>
      <w:tblCellMar>
        <w:top w:w="0" w:type="dxa"/>
        <w:left w:w="0" w:type="dxa"/>
        <w:bottom w:w="0" w:type="dxa"/>
        <w:right w:w="0" w:type="dxa"/>
      </w:tblCellMar>
    </w:tblPr>
  </w:style>
  <w:style w:type="table" w:customStyle="1" w:styleId="124">
    <w:name w:val="Table Grid21"/>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5">
    <w:name w:val="bullet list"/>
    <w:basedOn w:val="14"/>
    <w:qFormat/>
    <w:uiPriority w:val="0"/>
    <w:pPr>
      <w:numPr>
        <w:ilvl w:val="0"/>
        <w:numId w:val="1"/>
      </w:numPr>
      <w:tabs>
        <w:tab w:val="left" w:pos="288"/>
      </w:tabs>
    </w:pPr>
  </w:style>
  <w:style w:type="paragraph" w:customStyle="1" w:styleId="126">
    <w:name w:val="figure caption"/>
    <w:qFormat/>
    <w:uiPriority w:val="0"/>
    <w:pPr>
      <w:numPr>
        <w:ilvl w:val="0"/>
        <w:numId w:val="2"/>
      </w:numPr>
      <w:tabs>
        <w:tab w:val="left" w:pos="533"/>
      </w:tabs>
      <w:spacing w:before="80" w:after="200" w:line="240" w:lineRule="auto"/>
      <w:jc w:val="both"/>
    </w:pPr>
    <w:rPr>
      <w:rFonts w:ascii="Times New Roman" w:hAnsi="Times New Roman" w:eastAsia="SimSun" w:cs="Times New Roman"/>
      <w:sz w:val="16"/>
      <w:szCs w:val="16"/>
      <w:lang w:val="en-US" w:eastAsia="en-US" w:bidi="ar-SA"/>
    </w:rPr>
  </w:style>
  <w:style w:type="paragraph" w:customStyle="1" w:styleId="127">
    <w:name w:val="table head"/>
    <w:qFormat/>
    <w:uiPriority w:val="0"/>
    <w:pPr>
      <w:numPr>
        <w:ilvl w:val="0"/>
        <w:numId w:val="3"/>
      </w:numPr>
      <w:spacing w:before="240" w:after="120" w:line="216" w:lineRule="auto"/>
      <w:jc w:val="center"/>
    </w:pPr>
    <w:rPr>
      <w:rFonts w:ascii="Times New Roman" w:hAnsi="Times New Roman" w:eastAsia="SimSun" w:cs="Times New Roman"/>
      <w:smallCaps/>
      <w:sz w:val="16"/>
      <w:szCs w:val="16"/>
      <w:lang w:val="en-US" w:eastAsia="en-US" w:bidi="ar-SA"/>
    </w:rPr>
  </w:style>
  <w:style w:type="paragraph" w:customStyle="1" w:styleId="128">
    <w:name w:val="references"/>
    <w:qFormat/>
    <w:uiPriority w:val="0"/>
    <w:pPr>
      <w:numPr>
        <w:ilvl w:val="0"/>
        <w:numId w:val="4"/>
      </w:numPr>
      <w:spacing w:after="50" w:line="180" w:lineRule="exact"/>
      <w:jc w:val="both"/>
    </w:pPr>
    <w:rPr>
      <w:rFonts w:ascii="Times New Roman" w:hAnsi="Times New Roman" w:eastAsia="MS Mincho" w:cs="Times New Roman"/>
      <w:sz w:val="16"/>
      <w:szCs w:val="16"/>
      <w:lang w:val="en-US" w:eastAsia="en-US" w:bidi="ar-SA"/>
    </w:rPr>
  </w:style>
  <w:style w:type="paragraph" w:customStyle="1" w:styleId="129">
    <w:name w:val="HTML Bottom of Form"/>
    <w:basedOn w:val="1"/>
    <w:next w:val="1"/>
    <w:hidden/>
    <w:semiHidden/>
    <w:unhideWhenUsed/>
    <w:qFormat/>
    <w:uiPriority w:val="99"/>
    <w:pPr>
      <w:pBdr>
        <w:top w:val="single" w:color="auto" w:sz="6" w:space="1"/>
      </w:pBdr>
      <w:spacing w:after="0" w:line="240" w:lineRule="auto"/>
      <w:jc w:val="center"/>
    </w:pPr>
    <w:rPr>
      <w:rFonts w:ascii="Arial" w:hAnsi="Arial" w:eastAsia="Times New Roman" w:cs="Arial"/>
      <w:vanish/>
      <w:kern w:val="0"/>
      <w:sz w:val="16"/>
      <w:szCs w:val="16"/>
      <w14:ligatures w14:val="none"/>
    </w:rPr>
  </w:style>
  <w:style w:type="table" w:customStyle="1" w:styleId="130">
    <w:name w:val="_Style 66"/>
    <w:basedOn w:val="12"/>
    <w:qFormat/>
    <w:uiPriority w:val="0"/>
    <w:tblPr>
      <w:tblCellMar>
        <w:left w:w="115" w:type="dxa"/>
        <w:right w:w="115" w:type="dxa"/>
      </w:tblCellMar>
    </w:tblPr>
  </w:style>
  <w:style w:type="paragraph" w:customStyle="1" w:styleId="131">
    <w:name w:val="TSP_3.1_text"/>
    <w:qFormat/>
    <w:uiPriority w:val="0"/>
    <w:pPr>
      <w:adjustRightInd w:val="0"/>
      <w:snapToGrid w:val="0"/>
      <w:spacing w:after="60" w:line="240" w:lineRule="atLeast"/>
      <w:ind w:firstLine="425"/>
      <w:jc w:val="both"/>
    </w:pPr>
    <w:rPr>
      <w:rFonts w:ascii="Minion Pro" w:hAnsi="Minion Pro" w:eastAsia="Times New Roman" w:cs="Times New Roman"/>
      <w:snapToGrid w:val="0"/>
      <w:color w:val="000000"/>
      <w:sz w:val="22"/>
      <w:szCs w:val="22"/>
      <w:lang w:val="en-US" w:eastAsia="de-DE" w:bidi="en-US"/>
    </w:rPr>
  </w:style>
  <w:style w:type="table" w:customStyle="1" w:styleId="132">
    <w:name w:val="Plain Table 2"/>
    <w:basedOn w:val="12"/>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paragraph" w:customStyle="1" w:styleId="133">
    <w:name w:val="TSP_2.1_heading1"/>
    <w:qFormat/>
    <w:uiPriority w:val="0"/>
    <w:pPr>
      <w:adjustRightInd w:val="0"/>
      <w:snapToGrid w:val="0"/>
      <w:spacing w:before="240" w:after="60" w:line="240" w:lineRule="atLeast"/>
      <w:outlineLvl w:val="0"/>
    </w:pPr>
    <w:rPr>
      <w:rFonts w:ascii="Minion Pro" w:hAnsi="Minion Pro" w:eastAsia="Times New Roman" w:cs="Times New Roman"/>
      <w:b/>
      <w:snapToGrid w:val="0"/>
      <w:color w:val="000000"/>
      <w:sz w:val="22"/>
      <w:szCs w:val="22"/>
      <w:lang w:val="en-US" w:eastAsia="de-DE" w:bidi="en-US"/>
    </w:rPr>
  </w:style>
  <w:style w:type="paragraph" w:customStyle="1" w:styleId="134">
    <w:name w:val="TSP_2.2_heading2"/>
    <w:qFormat/>
    <w:uiPriority w:val="0"/>
    <w:pPr>
      <w:adjustRightInd w:val="0"/>
      <w:snapToGrid w:val="0"/>
      <w:spacing w:before="60" w:after="60" w:line="240" w:lineRule="atLeast"/>
      <w:outlineLvl w:val="1"/>
    </w:pPr>
    <w:rPr>
      <w:rFonts w:ascii="Minion Pro" w:hAnsi="Minion Pro" w:eastAsia="Times New Roman" w:cs="Times New Roman"/>
      <w:b/>
      <w:i/>
      <w:snapToGrid w:val="0"/>
      <w:color w:val="000000"/>
      <w:sz w:val="22"/>
      <w:szCs w:val="22"/>
      <w:lang w:val="en-US" w:eastAsia="de-DE" w:bidi="en-US"/>
    </w:rPr>
  </w:style>
  <w:style w:type="table" w:customStyle="1" w:styleId="135">
    <w:name w:val="List Table 6 Colorful Accent 3"/>
    <w:basedOn w:val="12"/>
    <w:qFormat/>
    <w:uiPriority w:val="51"/>
    <w:rPr>
      <w:color w:val="7C7C7C" w:themeColor="accent3" w:themeShade="BF"/>
    </w:rPr>
    <w:tblPr>
      <w:tblBorders>
        <w:top w:val="single" w:color="A5A5A5" w:themeColor="accent3" w:sz="4" w:space="0"/>
        <w:bottom w:val="single" w:color="A5A5A5" w:themeColor="accent3" w:sz="4" w:space="0"/>
      </w:tblBorders>
    </w:tblPr>
    <w:tblStylePr w:type="firstRow">
      <w:rPr>
        <w:b/>
        <w:bCs/>
      </w:rPr>
      <w:tcPr>
        <w:tcBorders>
          <w:bottom w:val="single" w:color="A5A5A5" w:themeColor="accent3" w:sz="4" w:space="0"/>
        </w:tcBorders>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paragraph" w:customStyle="1" w:styleId="136">
    <w:name w:val="TSP_2.3_heading3"/>
    <w:qFormat/>
    <w:uiPriority w:val="0"/>
    <w:pPr>
      <w:adjustRightInd w:val="0"/>
      <w:snapToGrid w:val="0"/>
      <w:spacing w:before="60" w:after="60" w:line="240" w:lineRule="atLeast"/>
      <w:outlineLvl w:val="2"/>
    </w:pPr>
    <w:rPr>
      <w:rFonts w:ascii="Minion Pro" w:hAnsi="Minion Pro" w:eastAsia="Times New Roman" w:cs="Times New Roman"/>
      <w:i/>
      <w:snapToGrid w:val="0"/>
      <w:color w:val="000000"/>
      <w:sz w:val="22"/>
      <w:szCs w:val="22"/>
      <w:lang w:val="en-US" w:eastAsia="de-DE" w:bidi="en-US"/>
    </w:rPr>
  </w:style>
  <w:style w:type="paragraph" w:customStyle="1" w:styleId="137">
    <w:name w:val="ds-markdown-paragraph"/>
    <w:basedOn w:val="1"/>
    <w:qFormat/>
    <w:uiPriority w:val="0"/>
    <w:pPr>
      <w:spacing w:before="100" w:beforeAutospacing="1" w:after="100" w:afterAutospacing="1" w:line="240" w:lineRule="auto"/>
      <w:ind w:left="0" w:right="0" w:firstLine="0"/>
      <w:jc w:val="left"/>
    </w:pPr>
    <w:rPr>
      <w:color w:val="auto"/>
      <w:kern w:val="0"/>
      <w:sz w:val="24"/>
      <w:lang w:bidi="ur-PK"/>
      <w14:ligatures w14:val="none"/>
    </w:rPr>
  </w:style>
  <w:style w:type="table" w:customStyle="1" w:styleId="138">
    <w:name w:val="Grid Table Light"/>
    <w:basedOn w:val="12"/>
    <w:qFormat/>
    <w:uiPriority w:val="40"/>
    <w:pPr>
      <w:widowControl/>
      <w:autoSpaceDE/>
      <w:autoSpaceDN/>
    </w:pPr>
    <w:rPr>
      <w:kern w:val="2"/>
      <w:sz w:val="24"/>
      <w:szCs w:val="24"/>
      <w14:ligatures w14:val="standardContextual"/>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139">
    <w:name w:val="Bibliography"/>
    <w:basedOn w:val="1"/>
    <w:next w:val="1"/>
    <w:unhideWhenUsed/>
    <w:qFormat/>
    <w:uiPriority w:val="37"/>
    <w:pPr>
      <w:spacing w:line="480" w:lineRule="auto"/>
      <w:ind w:left="720" w:hanging="720"/>
    </w:pPr>
  </w:style>
  <w:style w:type="character" w:customStyle="1" w:styleId="140">
    <w:name w:val="cursor-pointer"/>
    <w:basedOn w:val="11"/>
    <w:qFormat/>
    <w:uiPriority w:val="0"/>
  </w:style>
  <w:style w:type="paragraph" w:customStyle="1" w:styleId="141">
    <w:name w:val="Text body"/>
    <w:basedOn w:val="1"/>
    <w:qFormat/>
    <w:uiPriority w:val="0"/>
    <w:pPr>
      <w:suppressAutoHyphens/>
      <w:autoSpaceDN w:val="0"/>
      <w:spacing w:after="140" w:line="276" w:lineRule="auto"/>
      <w:textAlignment w:val="baseline"/>
    </w:pPr>
    <w:rPr>
      <w:rFonts w:ascii="Liberation Serif" w:hAnsi="Liberation Serif" w:eastAsia="Noto Serif CJK SC" w:cs="Noto Sans Devanagari"/>
      <w:kern w:val="3"/>
      <w:lang w:val="en-US" w:eastAsia="zh-CN" w:bidi="hi-IN"/>
      <w14:ligatures w14:val="none"/>
    </w:rPr>
  </w:style>
  <w:style w:type="character" w:customStyle="1" w:styleId="142">
    <w:name w:val="Strong Emphasis"/>
    <w:qFormat/>
    <w:uiPriority w:val="0"/>
    <w:rPr>
      <w:b/>
      <w:bCs/>
    </w:rPr>
  </w:style>
  <w:style w:type="character" w:customStyle="1" w:styleId="143">
    <w:name w:val="mord"/>
    <w:basedOn w:val="11"/>
    <w:qFormat/>
    <w:uiPriority w:val="0"/>
  </w:style>
  <w:style w:type="character" w:customStyle="1" w:styleId="144">
    <w:name w:val="mrel"/>
    <w:basedOn w:val="11"/>
    <w:qFormat/>
    <w:uiPriority w:val="0"/>
  </w:style>
  <w:style w:type="character" w:customStyle="1" w:styleId="145">
    <w:name w:val="mbin"/>
    <w:basedOn w:val="11"/>
    <w:qFormat/>
    <w:uiPriority w:val="0"/>
  </w:style>
  <w:style w:type="paragraph" w:customStyle="1" w:styleId="146">
    <w:name w:val="List Paragraph1"/>
    <w:basedOn w:val="1"/>
    <w:qFormat/>
    <w:uiPriority w:val="0"/>
    <w:pPr>
      <w:ind w:left="720"/>
      <w:contextualSpacing/>
    </w:pPr>
  </w:style>
  <w:style w:type="character" w:customStyle="1" w:styleId="147">
    <w:name w:val="katex-mathml"/>
    <w:basedOn w:val="11"/>
    <w:qFormat/>
    <w:uiPriority w:val="0"/>
  </w:style>
  <w:style w:type="character" w:customStyle="1" w:styleId="148">
    <w:name w:val="vlist-s"/>
    <w:basedOn w:val="11"/>
    <w:qFormat/>
    <w:uiPriority w:val="0"/>
  </w:style>
  <w:style w:type="paragraph" w:customStyle="1" w:styleId="149">
    <w:name w:val="H1_List (No Space)"/>
    <w:basedOn w:val="1"/>
    <w:qFormat/>
    <w:uiPriority w:val="0"/>
    <w:pPr>
      <w:numPr>
        <w:ilvl w:val="0"/>
        <w:numId w:val="5"/>
      </w:numPr>
      <w:autoSpaceDE w:val="0"/>
      <w:autoSpaceDN w:val="0"/>
      <w:adjustRightInd w:val="0"/>
      <w:spacing w:after="0" w:line="240" w:lineRule="auto"/>
      <w:jc w:val="both"/>
    </w:pPr>
    <w:rPr>
      <w:rFonts w:ascii="Helvetica" w:hAnsi="Helvetica" w:eastAsia="Times New Roman" w:cs="FormataOTF-Bold"/>
      <w:b/>
      <w:bCs/>
      <w:color w:val="00629B"/>
      <w:sz w:val="18"/>
      <w:szCs w:val="18"/>
    </w:rPr>
  </w:style>
  <w:style w:type="paragraph" w:customStyle="1" w:styleId="150">
    <w:name w:val="First Paragraph"/>
    <w:basedOn w:val="14"/>
    <w:next w:val="14"/>
    <w:qFormat/>
    <w:uiPriority w:val="0"/>
  </w:style>
  <w:style w:type="paragraph" w:customStyle="1" w:styleId="151">
    <w:name w:val="Image Caption"/>
    <w:basedOn w:val="15"/>
    <w:qFormat/>
    <w:uiPriority w:val="0"/>
  </w:style>
  <w:style w:type="paragraph" w:customStyle="1" w:styleId="152">
    <w:name w:val="Table Caption"/>
    <w:basedOn w:val="15"/>
    <w:qFormat/>
    <w:uiPriority w:val="0"/>
    <w:pPr>
      <w:keepNext/>
    </w:pPr>
  </w:style>
  <w:style w:type="paragraph" w:customStyle="1" w:styleId="153">
    <w:name w:val="Compact"/>
    <w:basedOn w:val="14"/>
    <w:qFormat/>
    <w:uiPriority w:val="0"/>
    <w:pPr>
      <w:spacing w:before="36" w:after="36"/>
    </w:pPr>
  </w:style>
  <w:style w:type="table" w:customStyle="1" w:styleId="154">
    <w:name w:val="Table"/>
    <w:semiHidden/>
    <w:unhideWhenUsed/>
    <w:qFormat/>
    <w:uiPriority w:val="0"/>
    <w:tblPr>
      <w:tblCellMar>
        <w:top w:w="0" w:type="dxa"/>
        <w:left w:w="108" w:type="dxa"/>
        <w:bottom w:w="0" w:type="dxa"/>
        <w:right w:w="108" w:type="dxa"/>
      </w:tblCellMar>
    </w:tblPr>
    <w:tblStylePr w:type="firstRow">
      <w:tcPr>
        <w:tcBorders>
          <w:left w:val="single" w:color="auto" w:sz="0" w:space="0"/>
        </w:tcBorders>
        <w:vAlign w:val="bottom"/>
      </w:tcPr>
    </w:tblStylePr>
  </w:style>
  <w:style w:type="character" w:customStyle="1" w:styleId="155">
    <w:name w:val="diff-highlight"/>
    <w:basedOn w:val="11"/>
    <w:qFormat/>
    <w:uiPriority w:val="0"/>
  </w:style>
  <w:style w:type="paragraph" w:customStyle="1" w:styleId="156">
    <w:name w:val="Standard"/>
    <w:qFormat/>
    <w:uiPriority w:val="0"/>
    <w:pPr>
      <w:suppressAutoHyphens/>
      <w:autoSpaceDN w:val="0"/>
      <w:spacing w:after="200" w:line="276" w:lineRule="auto"/>
      <w:textAlignment w:val="baseline"/>
    </w:pPr>
    <w:rPr>
      <w:rFonts w:ascii="Calibri" w:hAnsi="Calibri" w:eastAsia="Calibri" w:cs="Arial"/>
      <w:kern w:val="3"/>
      <w:sz w:val="22"/>
      <w:szCs w:val="22"/>
      <w:lang w:val="en-GB" w:eastAsia="en-US" w:bidi="ar-SA"/>
    </w:rPr>
  </w:style>
  <w:style w:type="character" w:customStyle="1" w:styleId="157">
    <w:name w:val="ai-insert"/>
    <w:basedOn w:val="11"/>
    <w:qFormat/>
    <w:uiPriority w:val="0"/>
  </w:style>
  <w:style w:type="character" w:customStyle="1" w:styleId="158">
    <w:name w:val="paperpal-citation"/>
    <w:basedOn w:val="11"/>
    <w:qFormat/>
    <w:uiPriority w:val="0"/>
  </w:style>
  <w:style w:type="character" w:customStyle="1" w:styleId="159">
    <w:name w:val="unknown-copy-source"/>
    <w:basedOn w:val="11"/>
    <w:qFormat/>
    <w:uiPriority w:val="0"/>
  </w:style>
  <w:style w:type="table" w:customStyle="1" w:styleId="160">
    <w:name w:val="Table Grid2"/>
    <w:basedOn w:val="12"/>
    <w:qFormat/>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IEER</Company>
  <Pages>17</Pages>
  <Words>1696</Words>
  <Characters>11706</Characters>
  <Lines>161</Lines>
  <Paragraphs>45</Paragraphs>
  <TotalTime>6</TotalTime>
  <ScaleCrop>false</ScaleCrop>
  <LinksUpToDate>false</LinksUpToDate>
  <CharactersWithSpaces>13380</CharactersWithSpaces>
  <Application>WPS Office_12.1.0.25862_F1E327BC-269C-435d-A152-05C5408002CA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2024-05-14T11:59:00Z</dcterms:created>
  <dc:creator>International Journal of Contemporary Issues in Social Sciences</dc:creator>
  <cp:lastModifiedBy>Dr. Asghar Kamal</cp:lastModifiedBy>
  <cp:lastPrinted>2024-05-17T05:44:00Z</cp:lastPrinted>
  <dcterms:modified xsi:type="dcterms:W3CDTF">2026-04-28T13:36:36Z</dcterms:modified>
  <dc:title>International Journal of Social Sciences Bulletin                                                                Volume 1, Issue 1, 2023</dc:title>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1033-12.1.0.25862</vt:lpwstr>
  </property>
  <property fmtid="{D5CDD505-2E9C-101B-9397-08002B2CF9AE}" pid="3" name="ICV">
    <vt:lpwstr>3442A3AD1CB544FC99AC54C82C8DECDD_13</vt:lpwstr>
  </property>
  <property fmtid="{D5CDD505-2E9C-101B-9397-08002B2CF9AE}" pid="4" name="KSOTemplateDocerSaveRecord">
    <vt:lpwstr>eyJoZGlkIjoiODlkMzQ1YmQ2M2RjZmY1ZWU3MWRjYWU5YTg5NjlkMTgifQ==</vt:lpwstr>
  </property>
</Properties>
</file>